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-559435</wp:posOffset>
            </wp:positionV>
            <wp:extent cx="2235200" cy="2235200"/>
            <wp:effectExtent l="19050" t="0" r="0" b="0"/>
            <wp:wrapNone/>
            <wp:docPr id="2" name="Image 2" descr="Logo Comités de Quar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omités de Quarti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Au</w:t>
      </w:r>
      <w:r w:rsidR="009F3D66"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membres de la Commission de Concertation</w:t>
      </w: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Hôtel Communal de Woluwe-Saint-Lambert</w:t>
      </w: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Avenue Paul </w:t>
      </w:r>
      <w:proofErr w:type="spellStart"/>
      <w:r>
        <w:rPr>
          <w:rFonts w:ascii="Times New Roman" w:hAnsi="Times New Roman"/>
          <w:sz w:val="20"/>
          <w:szCs w:val="20"/>
        </w:rPr>
        <w:t>Hymans</w:t>
      </w:r>
      <w:proofErr w:type="spellEnd"/>
      <w:r>
        <w:rPr>
          <w:rFonts w:ascii="Times New Roman" w:hAnsi="Times New Roman"/>
          <w:sz w:val="20"/>
          <w:szCs w:val="20"/>
        </w:rPr>
        <w:t>, 1</w:t>
      </w: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1200 Bruxelles               </w:t>
      </w: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right="-121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Bruxelles, le 2</w:t>
      </w:r>
      <w:r w:rsidR="009F3D66">
        <w:rPr>
          <w:rFonts w:ascii="Times New Roman" w:hAnsi="Times New Roman"/>
          <w:sz w:val="20"/>
          <w:szCs w:val="20"/>
        </w:rPr>
        <w:t>5</w:t>
      </w:r>
      <w:r w:rsidR="00BB7E7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mars 2012.</w:t>
      </w: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tabs>
          <w:tab w:val="left" w:pos="960"/>
          <w:tab w:val="left" w:pos="4500"/>
          <w:tab w:val="left" w:pos="5660"/>
        </w:tabs>
        <w:ind w:left="142" w:right="-121"/>
        <w:jc w:val="right"/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</w:p>
    <w:p w:rsidR="008E0C4A" w:rsidRDefault="008E0C4A" w:rsidP="004249AD">
      <w:pPr>
        <w:rPr>
          <w:rFonts w:ascii="Times New Roman" w:hAnsi="Times New Roman"/>
          <w:sz w:val="20"/>
          <w:szCs w:val="20"/>
        </w:rPr>
      </w:pPr>
    </w:p>
    <w:p w:rsidR="008E0C4A" w:rsidRDefault="008E0C4A" w:rsidP="004249AD">
      <w:pPr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Madame, Monsieur,</w:t>
      </w: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rPr>
          <w:rFonts w:ascii="Times New Roman" w:hAnsi="Times New Roman"/>
          <w:sz w:val="20"/>
          <w:szCs w:val="20"/>
          <w:u w:val="single"/>
        </w:rPr>
      </w:pPr>
    </w:p>
    <w:p w:rsidR="004249AD" w:rsidRDefault="004249AD" w:rsidP="004249A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Concerne : projet de règlement communal d’urbanisme zoné pour l’avenue Georges Henri</w:t>
      </w: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avons pris connaissance du règlement provisoire communal d’urbanisme zoné du quartier « Georges Henri ».</w:t>
      </w:r>
    </w:p>
    <w:p w:rsidR="004249AD" w:rsidRDefault="004249AD" w:rsidP="00424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préambule, nous tenons à signaler que le côté détaillé des diff</w:t>
      </w:r>
      <w:r w:rsidR="009F3D66">
        <w:rPr>
          <w:rFonts w:ascii="Times New Roman" w:hAnsi="Times New Roman"/>
          <w:sz w:val="20"/>
          <w:szCs w:val="20"/>
        </w:rPr>
        <w:t>érentes prescriptions, même si à</w:t>
      </w:r>
      <w:r>
        <w:rPr>
          <w:rFonts w:ascii="Times New Roman" w:hAnsi="Times New Roman"/>
          <w:sz w:val="20"/>
          <w:szCs w:val="20"/>
        </w:rPr>
        <w:t xml:space="preserve"> première vue, celui-ci peut paraître parfois excessif</w:t>
      </w:r>
      <w:r w:rsidR="000C3933">
        <w:rPr>
          <w:rFonts w:ascii="Times New Roman" w:hAnsi="Times New Roman"/>
          <w:sz w:val="20"/>
          <w:szCs w:val="20"/>
        </w:rPr>
        <w:t xml:space="preserve"> et directif pour certaines d’</w:t>
      </w:r>
      <w:r w:rsidR="00CD7752">
        <w:rPr>
          <w:rFonts w:ascii="Times New Roman" w:hAnsi="Times New Roman"/>
          <w:sz w:val="20"/>
          <w:szCs w:val="20"/>
        </w:rPr>
        <w:t>entre elles</w:t>
      </w:r>
      <w:r w:rsidR="000C3933">
        <w:rPr>
          <w:rFonts w:ascii="Times New Roman" w:hAnsi="Times New Roman"/>
          <w:sz w:val="20"/>
          <w:szCs w:val="20"/>
        </w:rPr>
        <w:t>, est</w:t>
      </w:r>
      <w:r w:rsidR="00CD7752">
        <w:rPr>
          <w:rFonts w:ascii="Times New Roman" w:hAnsi="Times New Roman"/>
          <w:sz w:val="20"/>
          <w:szCs w:val="20"/>
        </w:rPr>
        <w:t xml:space="preserve"> un</w:t>
      </w:r>
      <w:r w:rsidR="000C3933">
        <w:rPr>
          <w:rFonts w:ascii="Times New Roman" w:hAnsi="Times New Roman"/>
          <w:sz w:val="20"/>
          <w:szCs w:val="20"/>
        </w:rPr>
        <w:t xml:space="preserve"> </w:t>
      </w:r>
      <w:r w:rsidR="00CD7752">
        <w:rPr>
          <w:rFonts w:ascii="Times New Roman" w:hAnsi="Times New Roman"/>
          <w:sz w:val="20"/>
          <w:szCs w:val="20"/>
        </w:rPr>
        <w:t xml:space="preserve">élément </w:t>
      </w:r>
      <w:r w:rsidR="000C3933">
        <w:rPr>
          <w:rFonts w:ascii="Times New Roman" w:hAnsi="Times New Roman"/>
          <w:sz w:val="20"/>
          <w:szCs w:val="20"/>
        </w:rPr>
        <w:t>positif pour le quartier et apportera une cohérence et homogén</w:t>
      </w:r>
      <w:r w:rsidR="00BB7E77">
        <w:rPr>
          <w:rFonts w:ascii="Times New Roman" w:hAnsi="Times New Roman"/>
          <w:sz w:val="20"/>
          <w:szCs w:val="20"/>
        </w:rPr>
        <w:t>éi</w:t>
      </w:r>
      <w:r w:rsidR="000C3933">
        <w:rPr>
          <w:rFonts w:ascii="Times New Roman" w:hAnsi="Times New Roman"/>
          <w:sz w:val="20"/>
          <w:szCs w:val="20"/>
        </w:rPr>
        <w:t>té cert</w:t>
      </w:r>
      <w:r w:rsidR="0071558A">
        <w:rPr>
          <w:rFonts w:ascii="Times New Roman" w:hAnsi="Times New Roman"/>
          <w:sz w:val="20"/>
          <w:szCs w:val="20"/>
        </w:rPr>
        <w:t xml:space="preserve">aine à la rue, ce </w:t>
      </w:r>
      <w:r w:rsidR="000C3933">
        <w:rPr>
          <w:rFonts w:ascii="Times New Roman" w:hAnsi="Times New Roman"/>
          <w:sz w:val="20"/>
          <w:szCs w:val="20"/>
        </w:rPr>
        <w:t>qui contribuera, nous en sommes convaincus, à la revitalisation de cette artère commerçante.</w:t>
      </w:r>
    </w:p>
    <w:p w:rsidR="000C3933" w:rsidRDefault="000C3933" w:rsidP="00424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avons examiné le projet et tenons à faire les remarques suivantes :</w:t>
      </w:r>
    </w:p>
    <w:p w:rsidR="000C3933" w:rsidRDefault="000C3933" w:rsidP="004249AD">
      <w:pPr>
        <w:rPr>
          <w:rFonts w:ascii="Times New Roman" w:hAnsi="Times New Roman"/>
          <w:sz w:val="20"/>
          <w:szCs w:val="20"/>
        </w:rPr>
      </w:pPr>
    </w:p>
    <w:p w:rsidR="000C3933" w:rsidRDefault="000C3933" w:rsidP="000C3933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déplorons la piètre qualité de la version néerlandophone de la partie introductive du texte</w:t>
      </w:r>
      <w:r w:rsidR="009F3D66">
        <w:rPr>
          <w:rFonts w:ascii="Times New Roman" w:hAnsi="Times New Roman"/>
          <w:sz w:val="20"/>
          <w:szCs w:val="20"/>
        </w:rPr>
        <w:t xml:space="preserve"> (De </w:t>
      </w:r>
      <w:proofErr w:type="spellStart"/>
      <w:r w:rsidR="009F3D66">
        <w:rPr>
          <w:rFonts w:ascii="Times New Roman" w:hAnsi="Times New Roman"/>
          <w:sz w:val="20"/>
          <w:szCs w:val="20"/>
        </w:rPr>
        <w:t>raad</w:t>
      </w:r>
      <w:proofErr w:type="spellEnd"/>
      <w:r w:rsidR="009F3D66">
        <w:rPr>
          <w:rFonts w:ascii="Times New Roman" w:hAnsi="Times New Roman"/>
          <w:sz w:val="20"/>
          <w:szCs w:val="20"/>
        </w:rPr>
        <w:t xml:space="preserve"> … </w:t>
      </w:r>
      <w:proofErr w:type="spellStart"/>
      <w:r w:rsidR="009F3D66">
        <w:rPr>
          <w:rFonts w:ascii="Times New Roman" w:hAnsi="Times New Roman"/>
          <w:sz w:val="20"/>
          <w:szCs w:val="20"/>
        </w:rPr>
        <w:t>beslist</w:t>
      </w:r>
      <w:proofErr w:type="spellEnd"/>
      <w:r w:rsidR="009F3D66">
        <w:rPr>
          <w:rFonts w:ascii="Times New Roman" w:hAnsi="Times New Roman"/>
          <w:sz w:val="20"/>
          <w:szCs w:val="20"/>
        </w:rPr>
        <w:t>…)</w:t>
      </w:r>
      <w:r>
        <w:rPr>
          <w:rFonts w:ascii="Times New Roman" w:hAnsi="Times New Roman"/>
          <w:sz w:val="20"/>
          <w:szCs w:val="20"/>
        </w:rPr>
        <w:t xml:space="preserve"> qui doit être relue et amendée pour la bonne compréhen</w:t>
      </w:r>
      <w:r w:rsidR="00BB7E77">
        <w:rPr>
          <w:rFonts w:ascii="Times New Roman" w:hAnsi="Times New Roman"/>
          <w:sz w:val="20"/>
          <w:szCs w:val="20"/>
        </w:rPr>
        <w:t>sion de celui-ci</w:t>
      </w:r>
      <w:r w:rsidR="00C60944">
        <w:rPr>
          <w:rFonts w:ascii="Times New Roman" w:hAnsi="Times New Roman"/>
          <w:sz w:val="20"/>
          <w:szCs w:val="20"/>
        </w:rPr>
        <w:t xml:space="preserve"> </w:t>
      </w:r>
      <w:r w:rsidR="00F431C9">
        <w:rPr>
          <w:rFonts w:ascii="Times New Roman" w:hAnsi="Times New Roman"/>
          <w:sz w:val="20"/>
          <w:szCs w:val="20"/>
        </w:rPr>
        <w:t>; la partie relative aux dispositions générales étant généralement correcte hormis quelques erreurs de vocabulaire.</w:t>
      </w:r>
    </w:p>
    <w:p w:rsidR="00E765DC" w:rsidRDefault="00E765DC" w:rsidP="000C3933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Nous approuvons les primes octroyées pour favoriser le logement aux étages.</w:t>
      </w:r>
    </w:p>
    <w:p w:rsidR="00F431C9" w:rsidRDefault="00F431C9" w:rsidP="00223B5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Nous nous posons la question de savoir si l’obligation de limiter les enseignes commerciales uniquement au </w:t>
      </w:r>
      <w:proofErr w:type="spellStart"/>
      <w:r>
        <w:rPr>
          <w:rFonts w:ascii="Times New Roman" w:hAnsi="Times New Roman"/>
          <w:sz w:val="20"/>
          <w:szCs w:val="20"/>
        </w:rPr>
        <w:t>rez</w:t>
      </w:r>
      <w:proofErr w:type="spellEnd"/>
      <w:r w:rsidR="00D5571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r w:rsidR="00D5571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chaussée</w:t>
      </w:r>
      <w:proofErr w:type="spellEnd"/>
      <w:r>
        <w:rPr>
          <w:rFonts w:ascii="Times New Roman" w:hAnsi="Times New Roman"/>
          <w:sz w:val="20"/>
          <w:szCs w:val="20"/>
        </w:rPr>
        <w:t xml:space="preserve"> sera bien un atout pour l’attractivité des commerces</w:t>
      </w:r>
      <w:r w:rsidR="00075307">
        <w:rPr>
          <w:rFonts w:ascii="Times New Roman" w:hAnsi="Times New Roman"/>
          <w:sz w:val="20"/>
          <w:szCs w:val="20"/>
        </w:rPr>
        <w:t xml:space="preserve"> et/ou si la visibilité des différents commerces sera suffisante</w:t>
      </w:r>
      <w:r>
        <w:rPr>
          <w:rFonts w:ascii="Times New Roman" w:hAnsi="Times New Roman"/>
          <w:sz w:val="20"/>
          <w:szCs w:val="20"/>
        </w:rPr>
        <w:t> ; nous présumons que la raison principale de cette prescription est la volonté de favoriser le logement aux étages des commerces</w:t>
      </w:r>
      <w:r w:rsidR="00C60944">
        <w:rPr>
          <w:rFonts w:ascii="Times New Roman" w:hAnsi="Times New Roman"/>
          <w:sz w:val="20"/>
          <w:szCs w:val="20"/>
        </w:rPr>
        <w:t>, ce qui indéniablement favorise la mixité des fonctions, tout bénéfice en termes de convivialité et</w:t>
      </w:r>
      <w:r w:rsidR="00A412EA">
        <w:rPr>
          <w:rFonts w:ascii="Times New Roman" w:hAnsi="Times New Roman"/>
          <w:sz w:val="20"/>
          <w:szCs w:val="20"/>
        </w:rPr>
        <w:t xml:space="preserve"> d’animation.</w:t>
      </w:r>
      <w:r>
        <w:rPr>
          <w:rFonts w:ascii="Times New Roman" w:hAnsi="Times New Roman"/>
          <w:sz w:val="20"/>
          <w:szCs w:val="20"/>
        </w:rPr>
        <w:t xml:space="preserve"> Y-a-t-il des exemples probants</w:t>
      </w:r>
      <w:r w:rsidR="00BB7E77">
        <w:rPr>
          <w:rFonts w:ascii="Times New Roman" w:hAnsi="Times New Roman"/>
          <w:sz w:val="20"/>
          <w:szCs w:val="20"/>
        </w:rPr>
        <w:t xml:space="preserve"> de ce type</w:t>
      </w:r>
      <w:r>
        <w:rPr>
          <w:rFonts w:ascii="Times New Roman" w:hAnsi="Times New Roman"/>
          <w:sz w:val="20"/>
          <w:szCs w:val="20"/>
        </w:rPr>
        <w:t xml:space="preserve"> à Bruxelles (hormis la rue </w:t>
      </w:r>
      <w:proofErr w:type="spellStart"/>
      <w:r>
        <w:rPr>
          <w:rFonts w:ascii="Times New Roman" w:hAnsi="Times New Roman"/>
          <w:sz w:val="20"/>
          <w:szCs w:val="20"/>
        </w:rPr>
        <w:t>Dansaert</w:t>
      </w:r>
      <w:proofErr w:type="spellEnd"/>
      <w:r>
        <w:rPr>
          <w:rFonts w:ascii="Times New Roman" w:hAnsi="Times New Roman"/>
          <w:sz w:val="20"/>
          <w:szCs w:val="20"/>
        </w:rPr>
        <w:t>), en Belgique ou a l’étranger ?</w:t>
      </w:r>
      <w:r w:rsidR="00E765DC">
        <w:rPr>
          <w:rFonts w:ascii="Times New Roman" w:hAnsi="Times New Roman"/>
          <w:sz w:val="20"/>
          <w:szCs w:val="20"/>
        </w:rPr>
        <w:t xml:space="preserve"> </w:t>
      </w:r>
      <w:r w:rsidR="00223B54">
        <w:rPr>
          <w:rFonts w:ascii="Times New Roman" w:hAnsi="Times New Roman"/>
          <w:sz w:val="20"/>
          <w:szCs w:val="20"/>
        </w:rPr>
        <w:t>Nous sommes persua</w:t>
      </w:r>
      <w:r w:rsidR="00223B54" w:rsidRPr="00223B54">
        <w:rPr>
          <w:rFonts w:ascii="Times New Roman" w:hAnsi="Times New Roman"/>
          <w:sz w:val="20"/>
          <w:szCs w:val="20"/>
        </w:rPr>
        <w:t>dés</w:t>
      </w:r>
      <w:r w:rsidR="00223B54">
        <w:rPr>
          <w:rFonts w:ascii="Times New Roman" w:hAnsi="Times New Roman"/>
          <w:sz w:val="20"/>
          <w:szCs w:val="20"/>
        </w:rPr>
        <w:t xml:space="preserve"> que l</w:t>
      </w:r>
      <w:r w:rsidR="00223B54" w:rsidRPr="00223B54">
        <w:rPr>
          <w:rFonts w:ascii="Times New Roman" w:hAnsi="Times New Roman"/>
          <w:sz w:val="20"/>
          <w:szCs w:val="20"/>
        </w:rPr>
        <w:t xml:space="preserve">’application de ce règlement </w:t>
      </w:r>
      <w:r w:rsidR="00223B54">
        <w:rPr>
          <w:rFonts w:ascii="Times New Roman" w:hAnsi="Times New Roman"/>
          <w:sz w:val="20"/>
          <w:szCs w:val="20"/>
        </w:rPr>
        <w:t xml:space="preserve">donnera un cachet, une cohérence à cette artère commerciale en lieu et place du « bric à </w:t>
      </w:r>
      <w:proofErr w:type="spellStart"/>
      <w:r w:rsidR="00223B54">
        <w:rPr>
          <w:rFonts w:ascii="Times New Roman" w:hAnsi="Times New Roman"/>
          <w:sz w:val="20"/>
          <w:szCs w:val="20"/>
        </w:rPr>
        <w:t>brac</w:t>
      </w:r>
      <w:proofErr w:type="spellEnd"/>
      <w:r w:rsidR="00223B54">
        <w:rPr>
          <w:rFonts w:ascii="Times New Roman" w:hAnsi="Times New Roman"/>
          <w:sz w:val="20"/>
          <w:szCs w:val="20"/>
        </w:rPr>
        <w:t> » actuel.</w:t>
      </w:r>
    </w:p>
    <w:p w:rsidR="00FB2EB8" w:rsidRPr="00223B54" w:rsidRDefault="00FB2EB8" w:rsidP="00223B5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Parallèlement à ce règlement, nous estimons qu’il est important de prendre les mesures adéquates en vue de diminuer la vitesse du trafic à l’avenue Georges Henri ; une attention toute particulière devra également être apportée </w:t>
      </w:r>
      <w:r w:rsidR="004824EA"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z w:val="20"/>
          <w:szCs w:val="20"/>
        </w:rPr>
        <w:t xml:space="preserve"> l’éclairage public, </w:t>
      </w:r>
      <w:r w:rsidR="0089106A">
        <w:rPr>
          <w:rFonts w:ascii="Times New Roman" w:hAnsi="Times New Roman"/>
          <w:sz w:val="20"/>
          <w:szCs w:val="20"/>
        </w:rPr>
        <w:t xml:space="preserve">à savoir </w:t>
      </w:r>
      <w:r>
        <w:rPr>
          <w:rFonts w:ascii="Times New Roman" w:hAnsi="Times New Roman"/>
          <w:sz w:val="20"/>
          <w:szCs w:val="20"/>
        </w:rPr>
        <w:t>un éclairage</w:t>
      </w:r>
      <w:r w:rsidR="004824EA">
        <w:rPr>
          <w:rFonts w:ascii="Times New Roman" w:hAnsi="Times New Roman"/>
          <w:sz w:val="20"/>
          <w:szCs w:val="20"/>
        </w:rPr>
        <w:t xml:space="preserve"> moderne qui met en valeur t les</w:t>
      </w:r>
      <w:r w:rsidR="0089106A">
        <w:rPr>
          <w:rFonts w:ascii="Times New Roman" w:hAnsi="Times New Roman"/>
          <w:sz w:val="20"/>
          <w:szCs w:val="20"/>
        </w:rPr>
        <w:t xml:space="preserve"> façade</w:t>
      </w:r>
      <w:r w:rsidR="004824EA">
        <w:rPr>
          <w:rFonts w:ascii="Times New Roman" w:hAnsi="Times New Roman"/>
          <w:sz w:val="20"/>
          <w:szCs w:val="20"/>
        </w:rPr>
        <w:t>s</w:t>
      </w:r>
      <w:r w:rsidR="0089106A">
        <w:rPr>
          <w:rFonts w:ascii="Times New Roman" w:hAnsi="Times New Roman"/>
          <w:sz w:val="20"/>
          <w:szCs w:val="20"/>
        </w:rPr>
        <w:t xml:space="preserve"> </w:t>
      </w:r>
      <w:r w:rsidR="004824EA">
        <w:rPr>
          <w:rFonts w:ascii="Times New Roman" w:hAnsi="Times New Roman"/>
          <w:sz w:val="20"/>
          <w:szCs w:val="20"/>
        </w:rPr>
        <w:t>sur toute la hauteur</w:t>
      </w:r>
      <w:r w:rsidR="0089106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CD7752" w:rsidRDefault="0071558A" w:rsidP="000C3933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L’entrée en vigueur (art. 50) de certaines</w:t>
      </w:r>
      <w:r w:rsidR="00A412EA">
        <w:rPr>
          <w:rFonts w:ascii="Times New Roman" w:hAnsi="Times New Roman"/>
          <w:sz w:val="20"/>
          <w:szCs w:val="20"/>
        </w:rPr>
        <w:t xml:space="preserve"> prescriptions par pa</w:t>
      </w:r>
      <w:r>
        <w:rPr>
          <w:rFonts w:ascii="Times New Roman" w:hAnsi="Times New Roman"/>
          <w:sz w:val="20"/>
          <w:szCs w:val="20"/>
        </w:rPr>
        <w:t>liers (de 3 mois à 3 ans et plus) ne va-t-elle pas</w:t>
      </w:r>
      <w:r w:rsidR="00A412EA">
        <w:rPr>
          <w:rFonts w:ascii="Times New Roman" w:hAnsi="Times New Roman"/>
          <w:sz w:val="20"/>
          <w:szCs w:val="20"/>
        </w:rPr>
        <w:t xml:space="preserve"> annihiler ou </w:t>
      </w:r>
      <w:r w:rsidR="00075307">
        <w:rPr>
          <w:rFonts w:ascii="Times New Roman" w:hAnsi="Times New Roman"/>
          <w:sz w:val="20"/>
          <w:szCs w:val="20"/>
        </w:rPr>
        <w:t xml:space="preserve">pour le moins </w:t>
      </w:r>
      <w:r w:rsidR="00A412EA">
        <w:rPr>
          <w:rFonts w:ascii="Times New Roman" w:hAnsi="Times New Roman"/>
          <w:sz w:val="20"/>
          <w:szCs w:val="20"/>
        </w:rPr>
        <w:t xml:space="preserve">différer </w:t>
      </w:r>
      <w:r>
        <w:rPr>
          <w:rFonts w:ascii="Times New Roman" w:hAnsi="Times New Roman"/>
          <w:sz w:val="20"/>
          <w:szCs w:val="20"/>
        </w:rPr>
        <w:t xml:space="preserve"> l’objectif visé ?</w:t>
      </w:r>
      <w:r w:rsidR="007953D9">
        <w:rPr>
          <w:rFonts w:ascii="Times New Roman" w:hAnsi="Times New Roman"/>
          <w:sz w:val="20"/>
          <w:szCs w:val="20"/>
        </w:rPr>
        <w:t xml:space="preserve"> L’application de ces prescriptions concerne-t-elle uniquement les nouveaux commerces ?</w:t>
      </w:r>
      <w:r w:rsidR="00075307">
        <w:rPr>
          <w:rFonts w:ascii="Times New Roman" w:hAnsi="Times New Roman"/>
          <w:sz w:val="20"/>
          <w:szCs w:val="20"/>
        </w:rPr>
        <w:t xml:space="preserve">  Y-a-t-il un</w:t>
      </w:r>
      <w:r w:rsidR="00A412EA">
        <w:rPr>
          <w:rFonts w:ascii="Times New Roman" w:hAnsi="Times New Roman"/>
          <w:sz w:val="20"/>
          <w:szCs w:val="20"/>
        </w:rPr>
        <w:t xml:space="preserve"> délai maximum fixé pour l’application intégrale</w:t>
      </w:r>
      <w:r w:rsidR="00075307">
        <w:rPr>
          <w:rFonts w:ascii="Times New Roman" w:hAnsi="Times New Roman"/>
          <w:sz w:val="20"/>
          <w:szCs w:val="20"/>
        </w:rPr>
        <w:t xml:space="preserve"> et généralisée d</w:t>
      </w:r>
      <w:r w:rsidR="00A412EA">
        <w:rPr>
          <w:rFonts w:ascii="Times New Roman" w:hAnsi="Times New Roman"/>
          <w:sz w:val="20"/>
          <w:szCs w:val="20"/>
        </w:rPr>
        <w:t>e ces prescriptions</w:t>
      </w:r>
      <w:r w:rsidR="00721349" w:rsidRPr="00721349">
        <w:rPr>
          <w:rFonts w:ascii="Times New Roman" w:hAnsi="Times New Roman"/>
          <w:sz w:val="20"/>
          <w:szCs w:val="20"/>
        </w:rPr>
        <w:t xml:space="preserve"> </w:t>
      </w:r>
      <w:r w:rsidR="00721349">
        <w:rPr>
          <w:rFonts w:ascii="Times New Roman" w:hAnsi="Times New Roman"/>
          <w:sz w:val="20"/>
          <w:szCs w:val="20"/>
        </w:rPr>
        <w:t>à tous les commerces</w:t>
      </w:r>
      <w:r w:rsidR="00A412EA">
        <w:rPr>
          <w:rFonts w:ascii="Times New Roman" w:hAnsi="Times New Roman"/>
          <w:sz w:val="20"/>
          <w:szCs w:val="20"/>
        </w:rPr>
        <w:t> ?</w:t>
      </w:r>
      <w:r w:rsidR="007953D9">
        <w:rPr>
          <w:rFonts w:ascii="Times New Roman" w:hAnsi="Times New Roman"/>
          <w:sz w:val="20"/>
          <w:szCs w:val="20"/>
        </w:rPr>
        <w:t xml:space="preserve"> </w:t>
      </w:r>
      <w:r w:rsidR="0089106A">
        <w:rPr>
          <w:rFonts w:ascii="Times New Roman" w:hAnsi="Times New Roman"/>
          <w:sz w:val="20"/>
          <w:szCs w:val="20"/>
        </w:rPr>
        <w:t>Nous pensons en effet qu’il est important que les objectifs visés par ce règlement soient atteints dans un délai le plus court possible.</w:t>
      </w:r>
    </w:p>
    <w:p w:rsidR="00F431C9" w:rsidRDefault="00CD7752" w:rsidP="000C3933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5 : la traduction en néerlandais de « superficie cumulée » ne correspond pas à la version en français et doit être remplacé</w:t>
      </w:r>
      <w:r w:rsidR="00A412EA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par </w:t>
      </w:r>
      <w:proofErr w:type="spellStart"/>
      <w:r>
        <w:rPr>
          <w:rFonts w:ascii="Times New Roman" w:hAnsi="Times New Roman"/>
          <w:sz w:val="20"/>
          <w:szCs w:val="20"/>
        </w:rPr>
        <w:t>gezamenlijke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oppervlakte</w:t>
      </w:r>
      <w:proofErr w:type="spellEnd"/>
      <w:r w:rsidR="00F051C5">
        <w:rPr>
          <w:rFonts w:ascii="Times New Roman" w:hAnsi="Times New Roman"/>
          <w:sz w:val="20"/>
          <w:szCs w:val="20"/>
        </w:rPr>
        <w:t>.</w:t>
      </w:r>
    </w:p>
    <w:p w:rsidR="00F051C5" w:rsidRPr="00352FDD" w:rsidRDefault="00F051C5" w:rsidP="00352FDD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52FDD">
        <w:rPr>
          <w:rFonts w:ascii="Times New Roman" w:hAnsi="Times New Roman"/>
          <w:sz w:val="20"/>
          <w:szCs w:val="20"/>
        </w:rPr>
        <w:t>Art. 7 : § 1 : à préciser au niveau olfactif, bruit et nocivité.</w:t>
      </w:r>
    </w:p>
    <w:p w:rsidR="00F051C5" w:rsidRDefault="00F051C5" w:rsidP="00F051C5">
      <w:pPr>
        <w:pStyle w:val="Paragraphedelis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§ 6 : quid de l’inox qui </w:t>
      </w:r>
      <w:r w:rsidR="004824EA">
        <w:rPr>
          <w:rFonts w:ascii="Times New Roman" w:hAnsi="Times New Roman"/>
          <w:sz w:val="20"/>
          <w:szCs w:val="20"/>
        </w:rPr>
        <w:t xml:space="preserve">est </w:t>
      </w:r>
      <w:r>
        <w:rPr>
          <w:rFonts w:ascii="Times New Roman" w:hAnsi="Times New Roman"/>
          <w:sz w:val="20"/>
          <w:szCs w:val="20"/>
        </w:rPr>
        <w:t>un matériau très usité pour les conduits d’</w:t>
      </w:r>
      <w:r w:rsidR="00A412EA">
        <w:rPr>
          <w:rFonts w:ascii="Times New Roman" w:hAnsi="Times New Roman"/>
          <w:sz w:val="20"/>
          <w:szCs w:val="20"/>
        </w:rPr>
        <w:t>évacuation ?</w:t>
      </w:r>
    </w:p>
    <w:p w:rsidR="007953D9" w:rsidRPr="00721349" w:rsidRDefault="007953D9" w:rsidP="00721349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52FDD">
        <w:rPr>
          <w:rFonts w:ascii="Times New Roman" w:hAnsi="Times New Roman"/>
          <w:sz w:val="20"/>
          <w:szCs w:val="20"/>
        </w:rPr>
        <w:t>Art. 10 : « le nombre d’enseigne autorisé est limité selon les conditions suivantes</w:t>
      </w:r>
      <w:r w:rsidR="00A412EA" w:rsidRPr="00352FDD">
        <w:rPr>
          <w:rFonts w:ascii="Times New Roman" w:hAnsi="Times New Roman"/>
          <w:sz w:val="20"/>
          <w:szCs w:val="20"/>
        </w:rPr>
        <w:t> »</w:t>
      </w:r>
      <w:r w:rsidRPr="00352FDD">
        <w:rPr>
          <w:rFonts w:ascii="Times New Roman" w:hAnsi="Times New Roman"/>
          <w:sz w:val="20"/>
          <w:szCs w:val="20"/>
        </w:rPr>
        <w:t> :</w:t>
      </w:r>
      <w:r w:rsidR="00721349">
        <w:rPr>
          <w:rFonts w:ascii="Times New Roman" w:hAnsi="Times New Roman"/>
          <w:sz w:val="20"/>
          <w:szCs w:val="20"/>
        </w:rPr>
        <w:t xml:space="preserve"> e</w:t>
      </w:r>
      <w:r w:rsidRPr="00721349">
        <w:rPr>
          <w:rFonts w:ascii="Times New Roman" w:hAnsi="Times New Roman"/>
          <w:sz w:val="20"/>
          <w:szCs w:val="20"/>
        </w:rPr>
        <w:t>t/ou</w:t>
      </w:r>
      <w:r w:rsidR="00721349" w:rsidRPr="00721349">
        <w:rPr>
          <w:rFonts w:ascii="Times New Roman" w:hAnsi="Times New Roman"/>
          <w:sz w:val="20"/>
          <w:szCs w:val="20"/>
        </w:rPr>
        <w:t xml:space="preserve"> en lieu et place des tirets.</w:t>
      </w:r>
    </w:p>
    <w:p w:rsidR="007774D4" w:rsidRDefault="007774D4" w:rsidP="007774D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30 : la traduction en néerlandais de « volets en bois anciens » n’est pas conforme au sens</w:t>
      </w:r>
      <w:r w:rsidR="00721349">
        <w:rPr>
          <w:rFonts w:ascii="Times New Roman" w:hAnsi="Times New Roman"/>
          <w:sz w:val="20"/>
          <w:szCs w:val="20"/>
        </w:rPr>
        <w:t xml:space="preserve"> et peut prêter à confusion</w:t>
      </w:r>
      <w:r>
        <w:rPr>
          <w:rFonts w:ascii="Times New Roman" w:hAnsi="Times New Roman"/>
          <w:sz w:val="20"/>
          <w:szCs w:val="20"/>
        </w:rPr>
        <w:t> ; il co</w:t>
      </w:r>
      <w:r w:rsidR="0089106A">
        <w:rPr>
          <w:rFonts w:ascii="Times New Roman" w:hAnsi="Times New Roman"/>
          <w:sz w:val="20"/>
          <w:szCs w:val="20"/>
        </w:rPr>
        <w:t>nvient de supprimer la virgule : « </w:t>
      </w:r>
      <w:proofErr w:type="spellStart"/>
      <w:r w:rsidR="0089106A">
        <w:rPr>
          <w:rFonts w:ascii="Times New Roman" w:hAnsi="Times New Roman"/>
          <w:sz w:val="20"/>
          <w:szCs w:val="20"/>
        </w:rPr>
        <w:t>oude</w:t>
      </w:r>
      <w:proofErr w:type="spellEnd"/>
      <w:r w:rsidR="008910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106A">
        <w:rPr>
          <w:rFonts w:ascii="Times New Roman" w:hAnsi="Times New Roman"/>
          <w:sz w:val="20"/>
          <w:szCs w:val="20"/>
        </w:rPr>
        <w:t>houten</w:t>
      </w:r>
      <w:proofErr w:type="spellEnd"/>
      <w:r w:rsidR="0089106A">
        <w:rPr>
          <w:rFonts w:ascii="Times New Roman" w:hAnsi="Times New Roman"/>
          <w:sz w:val="20"/>
          <w:szCs w:val="20"/>
        </w:rPr>
        <w:t>… »</w:t>
      </w:r>
    </w:p>
    <w:p w:rsidR="00A626E9" w:rsidRDefault="00A626E9" w:rsidP="007774D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43 : la numérotation n’est pas identique en français et en néerlandais.</w:t>
      </w:r>
    </w:p>
    <w:p w:rsidR="00A626E9" w:rsidRPr="007774D4" w:rsidRDefault="00A626E9" w:rsidP="007774D4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46 : la numérotation n’est pas identique en français et en néerlandais.</w:t>
      </w:r>
    </w:p>
    <w:p w:rsidR="00D5571C" w:rsidRDefault="007953D9" w:rsidP="00D5571C">
      <w:pPr>
        <w:pStyle w:val="Paragraphedeliste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52FDD">
        <w:rPr>
          <w:rFonts w:ascii="Times New Roman" w:hAnsi="Times New Roman"/>
          <w:sz w:val="20"/>
          <w:szCs w:val="20"/>
        </w:rPr>
        <w:lastRenderedPageBreak/>
        <w:t xml:space="preserve">Art. 50 : </w:t>
      </w:r>
      <w:r w:rsidR="00D5571C">
        <w:rPr>
          <w:rFonts w:ascii="Times New Roman" w:hAnsi="Times New Roman"/>
          <w:sz w:val="20"/>
          <w:szCs w:val="20"/>
        </w:rPr>
        <w:t>§2 : est différent en née</w:t>
      </w:r>
      <w:r w:rsidR="003A08B5">
        <w:rPr>
          <w:rFonts w:ascii="Times New Roman" w:hAnsi="Times New Roman"/>
          <w:sz w:val="20"/>
          <w:szCs w:val="20"/>
        </w:rPr>
        <w:t>rlandais et en français </w:t>
      </w:r>
    </w:p>
    <w:p w:rsidR="004824EA" w:rsidRPr="00076919" w:rsidRDefault="00076919" w:rsidP="00076919">
      <w:pPr>
        <w:pStyle w:val="Paragraphedeliste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 xml:space="preserve">              </w:t>
      </w:r>
      <w:r w:rsidR="004824EA" w:rsidRPr="00076919">
        <w:rPr>
          <w:rFonts w:ascii="Times New Roman" w:hAnsi="Times New Roman"/>
          <w:sz w:val="20"/>
          <w:szCs w:val="20"/>
          <w:lang w:val="fr-BE"/>
        </w:rPr>
        <w:t xml:space="preserve">§6 : </w:t>
      </w:r>
      <w:proofErr w:type="gramStart"/>
      <w:r w:rsidR="004824EA" w:rsidRPr="00076919">
        <w:rPr>
          <w:rFonts w:ascii="Times New Roman" w:hAnsi="Times New Roman"/>
          <w:sz w:val="20"/>
          <w:szCs w:val="20"/>
          <w:lang w:val="fr-BE"/>
        </w:rPr>
        <w:t>devantures</w:t>
      </w:r>
      <w:proofErr w:type="gramEnd"/>
      <w:r w:rsidR="004824EA" w:rsidRPr="00076919">
        <w:rPr>
          <w:rFonts w:ascii="Times New Roman" w:hAnsi="Times New Roman"/>
          <w:sz w:val="20"/>
          <w:szCs w:val="20"/>
          <w:lang w:val="fr-BE"/>
        </w:rPr>
        <w:t xml:space="preserve"> en néerlandais est </w:t>
      </w:r>
      <w:proofErr w:type="spellStart"/>
      <w:r w:rsidR="004824EA" w:rsidRPr="00076919">
        <w:rPr>
          <w:rFonts w:ascii="Times New Roman" w:hAnsi="Times New Roman"/>
          <w:sz w:val="20"/>
          <w:szCs w:val="20"/>
          <w:lang w:val="fr-BE"/>
        </w:rPr>
        <w:t>winkelpui</w:t>
      </w:r>
      <w:proofErr w:type="spellEnd"/>
      <w:r w:rsidR="004824EA" w:rsidRPr="00076919">
        <w:rPr>
          <w:rFonts w:ascii="Times New Roman" w:hAnsi="Times New Roman"/>
          <w:sz w:val="20"/>
          <w:szCs w:val="20"/>
          <w:lang w:val="fr-BE"/>
        </w:rPr>
        <w:t xml:space="preserve"> et non </w:t>
      </w:r>
      <w:proofErr w:type="spellStart"/>
      <w:r w:rsidR="004824EA" w:rsidRPr="00076919">
        <w:rPr>
          <w:rFonts w:ascii="Times New Roman" w:hAnsi="Times New Roman"/>
          <w:sz w:val="20"/>
          <w:szCs w:val="20"/>
          <w:lang w:val="fr-BE"/>
        </w:rPr>
        <w:t>uitstalkast</w:t>
      </w:r>
      <w:proofErr w:type="spellEnd"/>
      <w:r w:rsidR="004824EA" w:rsidRPr="00076919">
        <w:rPr>
          <w:rFonts w:ascii="Times New Roman" w:hAnsi="Times New Roman"/>
          <w:sz w:val="20"/>
          <w:szCs w:val="20"/>
          <w:lang w:val="fr-BE"/>
        </w:rPr>
        <w:t xml:space="preserve"> comme indiqué.</w:t>
      </w:r>
    </w:p>
    <w:p w:rsidR="007953D9" w:rsidRDefault="00D5571C" w:rsidP="00D5571C">
      <w:pPr>
        <w:pStyle w:val="Paragraphedeliste"/>
        <w:rPr>
          <w:rFonts w:ascii="Times New Roman" w:hAnsi="Times New Roman"/>
          <w:sz w:val="20"/>
          <w:szCs w:val="20"/>
        </w:rPr>
      </w:pPr>
      <w:r w:rsidRPr="004824EA">
        <w:rPr>
          <w:rFonts w:ascii="Times New Roman" w:hAnsi="Times New Roman"/>
          <w:sz w:val="20"/>
          <w:szCs w:val="20"/>
          <w:lang w:val="fr-BE"/>
        </w:rPr>
        <w:t xml:space="preserve">              </w:t>
      </w:r>
      <w:r w:rsidR="007953D9" w:rsidRPr="00D5571C">
        <w:rPr>
          <w:rFonts w:ascii="Times New Roman" w:hAnsi="Times New Roman"/>
          <w:sz w:val="20"/>
          <w:szCs w:val="20"/>
        </w:rPr>
        <w:t xml:space="preserve">§7 : </w:t>
      </w:r>
      <w:proofErr w:type="gramStart"/>
      <w:r w:rsidR="007953D9" w:rsidRPr="00D5571C">
        <w:rPr>
          <w:rFonts w:ascii="Times New Roman" w:hAnsi="Times New Roman"/>
          <w:sz w:val="20"/>
          <w:szCs w:val="20"/>
        </w:rPr>
        <w:t>ne</w:t>
      </w:r>
      <w:proofErr w:type="gramEnd"/>
      <w:r w:rsidR="007953D9" w:rsidRPr="00D5571C">
        <w:rPr>
          <w:rFonts w:ascii="Times New Roman" w:hAnsi="Times New Roman"/>
          <w:sz w:val="20"/>
          <w:szCs w:val="20"/>
        </w:rPr>
        <w:t xml:space="preserve"> faut-il pas</w:t>
      </w:r>
      <w:r w:rsidR="00721349" w:rsidRPr="00D5571C">
        <w:rPr>
          <w:rFonts w:ascii="Times New Roman" w:hAnsi="Times New Roman"/>
          <w:sz w:val="20"/>
          <w:szCs w:val="20"/>
        </w:rPr>
        <w:t xml:space="preserve"> y </w:t>
      </w:r>
      <w:r w:rsidR="007953D9" w:rsidRPr="00D5571C">
        <w:rPr>
          <w:rFonts w:ascii="Times New Roman" w:hAnsi="Times New Roman"/>
          <w:sz w:val="20"/>
          <w:szCs w:val="20"/>
        </w:rPr>
        <w:t xml:space="preserve"> ajouter l</w:t>
      </w:r>
      <w:r w:rsidR="00721349" w:rsidRPr="00D5571C">
        <w:rPr>
          <w:rFonts w:ascii="Times New Roman" w:hAnsi="Times New Roman"/>
          <w:sz w:val="20"/>
          <w:szCs w:val="20"/>
        </w:rPr>
        <w:t>’art</w:t>
      </w:r>
      <w:r w:rsidR="007953D9" w:rsidRPr="00D5571C">
        <w:rPr>
          <w:rFonts w:ascii="Times New Roman" w:hAnsi="Times New Roman"/>
          <w:sz w:val="20"/>
          <w:szCs w:val="20"/>
        </w:rPr>
        <w:t>i</w:t>
      </w:r>
      <w:r w:rsidR="00721349" w:rsidRPr="00D5571C">
        <w:rPr>
          <w:rFonts w:ascii="Times New Roman" w:hAnsi="Times New Roman"/>
          <w:sz w:val="20"/>
          <w:szCs w:val="20"/>
        </w:rPr>
        <w:t>c</w:t>
      </w:r>
      <w:r w:rsidR="007953D9" w:rsidRPr="00D5571C">
        <w:rPr>
          <w:rFonts w:ascii="Times New Roman" w:hAnsi="Times New Roman"/>
          <w:sz w:val="20"/>
          <w:szCs w:val="20"/>
        </w:rPr>
        <w:t>le 18 ?</w:t>
      </w:r>
    </w:p>
    <w:p w:rsidR="004824EA" w:rsidRDefault="004824EA" w:rsidP="00D5571C">
      <w:pPr>
        <w:pStyle w:val="Paragraphedelis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§ 9 : à compléter : vitrines « et/ou vitre(s) » … et en néerlandais : </w:t>
      </w:r>
      <w:proofErr w:type="spellStart"/>
      <w:r>
        <w:rPr>
          <w:rFonts w:ascii="Times New Roman" w:hAnsi="Times New Roman"/>
          <w:sz w:val="20"/>
          <w:szCs w:val="20"/>
        </w:rPr>
        <w:t>uitstalramen</w:t>
      </w:r>
      <w:proofErr w:type="spellEnd"/>
      <w:r>
        <w:rPr>
          <w:rFonts w:ascii="Times New Roman" w:hAnsi="Times New Roman"/>
          <w:sz w:val="20"/>
          <w:szCs w:val="20"/>
        </w:rPr>
        <w:t xml:space="preserve"> « en/of</w:t>
      </w:r>
    </w:p>
    <w:p w:rsidR="004824EA" w:rsidRPr="00D5571C" w:rsidRDefault="004824EA" w:rsidP="00D5571C">
      <w:pPr>
        <w:pStyle w:val="Paragraphedelis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D501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ruit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en) »</w:t>
      </w:r>
    </w:p>
    <w:p w:rsidR="007953D9" w:rsidRPr="00F051C5" w:rsidRDefault="007953D9" w:rsidP="007953D9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§ 10 : la version en néerl</w:t>
      </w:r>
      <w:r w:rsidR="004824EA">
        <w:rPr>
          <w:rFonts w:ascii="Times New Roman" w:hAnsi="Times New Roman"/>
          <w:sz w:val="20"/>
          <w:szCs w:val="20"/>
        </w:rPr>
        <w:t>andais ne correspond pas au sujet concerné</w:t>
      </w:r>
      <w:r>
        <w:rPr>
          <w:rFonts w:ascii="Times New Roman" w:hAnsi="Times New Roman"/>
          <w:sz w:val="20"/>
          <w:szCs w:val="20"/>
        </w:rPr>
        <w:t xml:space="preserve"> de la version en français. </w:t>
      </w:r>
    </w:p>
    <w:p w:rsidR="00F051C5" w:rsidRDefault="00F051C5" w:rsidP="00F051C5">
      <w:pPr>
        <w:pStyle w:val="Paragraphedeliste"/>
        <w:ind w:left="1440"/>
        <w:rPr>
          <w:rFonts w:ascii="Times New Roman" w:hAnsi="Times New Roman"/>
          <w:sz w:val="20"/>
          <w:szCs w:val="20"/>
        </w:rPr>
      </w:pPr>
    </w:p>
    <w:p w:rsidR="004249AD" w:rsidRDefault="004249AD" w:rsidP="00893811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 w:rsidRPr="00893811">
        <w:rPr>
          <w:rFonts w:ascii="Times New Roman" w:hAnsi="Times New Roman"/>
          <w:bCs/>
          <w:iCs/>
          <w:sz w:val="20"/>
          <w:szCs w:val="20"/>
          <w:lang w:val="fr-BE"/>
        </w:rPr>
        <w:t>Nous souhaitons être entendus lors de la commission de concert</w:t>
      </w:r>
      <w:r w:rsidR="000D5F5F">
        <w:rPr>
          <w:rFonts w:ascii="Times New Roman" w:hAnsi="Times New Roman"/>
          <w:bCs/>
          <w:iCs/>
          <w:sz w:val="20"/>
          <w:szCs w:val="20"/>
          <w:lang w:val="fr-BE"/>
        </w:rPr>
        <w:t>ation</w:t>
      </w:r>
      <w:r w:rsidRPr="00893811">
        <w:rPr>
          <w:rFonts w:ascii="Times New Roman" w:hAnsi="Times New Roman"/>
          <w:bCs/>
          <w:iCs/>
          <w:sz w:val="20"/>
          <w:szCs w:val="20"/>
          <w:lang w:val="fr-BE"/>
        </w:rPr>
        <w:t>.</w:t>
      </w:r>
    </w:p>
    <w:p w:rsidR="008E0C4A" w:rsidRDefault="008E0C4A" w:rsidP="00893811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E0C4A" w:rsidRPr="00893811" w:rsidRDefault="008E0C4A" w:rsidP="00893811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Nous vous prions d’agréer, Madame, Monsieur, nos salutations distinguées.</w:t>
      </w:r>
    </w:p>
    <w:p w:rsidR="004249AD" w:rsidRDefault="004249AD" w:rsidP="004249AD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E0C4A" w:rsidRDefault="008E0C4A" w:rsidP="00721349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E0C4A" w:rsidRDefault="008E0C4A" w:rsidP="00721349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E0C4A" w:rsidRDefault="008E0C4A" w:rsidP="00721349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4249AD" w:rsidRDefault="00893811" w:rsidP="00721349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>Pour les</w:t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 xml:space="preserve"> comité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>s</w:t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 xml:space="preserve"> de quartier </w:t>
      </w:r>
      <w:proofErr w:type="spellStart"/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>Prekelinden</w:t>
      </w:r>
      <w:proofErr w:type="spellEnd"/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 xml:space="preserve">/Bois </w:t>
      </w:r>
      <w:proofErr w:type="spellStart"/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>deLinthout</w:t>
      </w:r>
      <w:proofErr w:type="spellEnd"/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 et Parvis St Henri</w:t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ab/>
      </w:r>
    </w:p>
    <w:p w:rsidR="008E0C4A" w:rsidRDefault="008E0C4A" w:rsidP="00893811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E0C4A" w:rsidRDefault="008E0C4A" w:rsidP="00893811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</w:p>
    <w:p w:rsidR="00893811" w:rsidRDefault="00893811" w:rsidP="00893811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  <w:proofErr w:type="spellStart"/>
      <w:r>
        <w:rPr>
          <w:rFonts w:ascii="Times New Roman" w:hAnsi="Times New Roman"/>
          <w:bCs/>
          <w:iCs/>
          <w:sz w:val="20"/>
          <w:szCs w:val="20"/>
          <w:lang w:val="fr-BE"/>
        </w:rPr>
        <w:t>Luk</w:t>
      </w:r>
      <w:proofErr w:type="spellEnd"/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 De </w:t>
      </w:r>
      <w:proofErr w:type="spellStart"/>
      <w:r>
        <w:rPr>
          <w:rFonts w:ascii="Times New Roman" w:hAnsi="Times New Roman"/>
          <w:bCs/>
          <w:iCs/>
          <w:sz w:val="20"/>
          <w:szCs w:val="20"/>
          <w:lang w:val="fr-BE"/>
        </w:rPr>
        <w:t>Raeve</w:t>
      </w:r>
      <w:proofErr w:type="spellEnd"/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>Béat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rix </w:t>
      </w:r>
      <w:proofErr w:type="spellStart"/>
      <w:r>
        <w:rPr>
          <w:rFonts w:ascii="Times New Roman" w:hAnsi="Times New Roman"/>
          <w:bCs/>
          <w:iCs/>
          <w:sz w:val="20"/>
          <w:szCs w:val="20"/>
          <w:lang w:val="fr-BE"/>
        </w:rPr>
        <w:t>Tilquin</w:t>
      </w:r>
      <w:proofErr w:type="spellEnd"/>
    </w:p>
    <w:p w:rsidR="00721349" w:rsidRDefault="00893811" w:rsidP="00721349">
      <w:pPr>
        <w:ind w:left="2124" w:right="-108" w:firstLine="7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35, rue du Bois de </w:t>
      </w:r>
      <w:proofErr w:type="spellStart"/>
      <w:r>
        <w:rPr>
          <w:rFonts w:ascii="Times New Roman" w:hAnsi="Times New Roman"/>
          <w:bCs/>
          <w:iCs/>
          <w:sz w:val="20"/>
          <w:szCs w:val="20"/>
          <w:lang w:val="fr-BE"/>
        </w:rPr>
        <w:t>Linthout</w:t>
      </w:r>
      <w:proofErr w:type="spellEnd"/>
      <w:r w:rsidR="00721349">
        <w:rPr>
          <w:rFonts w:ascii="Times New Roman" w:hAnsi="Times New Roman"/>
          <w:bCs/>
          <w:iCs/>
          <w:sz w:val="20"/>
          <w:szCs w:val="20"/>
          <w:lang w:val="fr-BE"/>
        </w:rPr>
        <w:tab/>
        <w:t xml:space="preserve">21 avenue </w:t>
      </w:r>
      <w:proofErr w:type="spellStart"/>
      <w:r w:rsidR="00721349">
        <w:rPr>
          <w:rFonts w:ascii="Times New Roman" w:hAnsi="Times New Roman"/>
          <w:bCs/>
          <w:iCs/>
          <w:sz w:val="20"/>
          <w:szCs w:val="20"/>
          <w:lang w:val="fr-BE"/>
        </w:rPr>
        <w:t>Albertyn</w:t>
      </w:r>
      <w:proofErr w:type="spellEnd"/>
    </w:p>
    <w:p w:rsidR="00794D9D" w:rsidRPr="00721349" w:rsidRDefault="00721349" w:rsidP="00721349">
      <w:pPr>
        <w:ind w:right="-108"/>
        <w:rPr>
          <w:rFonts w:ascii="Times New Roman" w:hAnsi="Times New Roman"/>
          <w:bCs/>
          <w:iCs/>
          <w:sz w:val="20"/>
          <w:szCs w:val="20"/>
          <w:lang w:val="fr-BE"/>
        </w:rPr>
      </w:pP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                                                         </w:t>
      </w:r>
      <w:r w:rsidR="008E0C4A">
        <w:rPr>
          <w:rFonts w:ascii="Times New Roman" w:hAnsi="Times New Roman"/>
          <w:bCs/>
          <w:iCs/>
          <w:sz w:val="20"/>
          <w:szCs w:val="20"/>
          <w:lang w:val="fr-BE"/>
        </w:rPr>
        <w:t>1200 Bruxelles</w:t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="004249AD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="00893811"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 w:rsidR="008E0C4A">
        <w:rPr>
          <w:rFonts w:ascii="Times New Roman" w:hAnsi="Times New Roman"/>
          <w:bCs/>
          <w:iCs/>
          <w:sz w:val="20"/>
          <w:szCs w:val="20"/>
          <w:lang w:val="fr-BE"/>
        </w:rPr>
        <w:t>1200 Bruxelles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 xml:space="preserve">                         </w:t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  <w:r>
        <w:rPr>
          <w:rFonts w:ascii="Times New Roman" w:hAnsi="Times New Roman"/>
          <w:bCs/>
          <w:iCs/>
          <w:sz w:val="20"/>
          <w:szCs w:val="20"/>
          <w:lang w:val="fr-BE"/>
        </w:rPr>
        <w:tab/>
      </w:r>
    </w:p>
    <w:sectPr w:rsidR="00794D9D" w:rsidRPr="00721349" w:rsidSect="0079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E3B"/>
    <w:multiLevelType w:val="hybridMultilevel"/>
    <w:tmpl w:val="6424529E"/>
    <w:lvl w:ilvl="0" w:tplc="0CBE372E">
      <w:start w:val="1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512C"/>
    <w:multiLevelType w:val="hybridMultilevel"/>
    <w:tmpl w:val="A386D432"/>
    <w:lvl w:ilvl="0" w:tplc="0CBE372E">
      <w:start w:val="120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D202ED1"/>
    <w:multiLevelType w:val="hybridMultilevel"/>
    <w:tmpl w:val="631CB188"/>
    <w:lvl w:ilvl="0" w:tplc="0CBE372E">
      <w:start w:val="12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3A62A8"/>
    <w:multiLevelType w:val="hybridMultilevel"/>
    <w:tmpl w:val="131EA51E"/>
    <w:lvl w:ilvl="0" w:tplc="0CBE372E">
      <w:start w:val="12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02F1B"/>
    <w:multiLevelType w:val="hybridMultilevel"/>
    <w:tmpl w:val="DB469F1A"/>
    <w:lvl w:ilvl="0" w:tplc="0C349F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F3CCF"/>
    <w:multiLevelType w:val="hybridMultilevel"/>
    <w:tmpl w:val="0F4889DE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9D419B"/>
    <w:multiLevelType w:val="hybridMultilevel"/>
    <w:tmpl w:val="23BC4FBE"/>
    <w:lvl w:ilvl="0" w:tplc="0CBE372E">
      <w:start w:val="12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8D1853"/>
    <w:multiLevelType w:val="hybridMultilevel"/>
    <w:tmpl w:val="D4DC8412"/>
    <w:lvl w:ilvl="0" w:tplc="0CBE372E">
      <w:start w:val="12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9AD"/>
    <w:rsid w:val="00075307"/>
    <w:rsid w:val="00076919"/>
    <w:rsid w:val="000C3933"/>
    <w:rsid w:val="000D5F5F"/>
    <w:rsid w:val="00223B54"/>
    <w:rsid w:val="00352FDD"/>
    <w:rsid w:val="003A08B5"/>
    <w:rsid w:val="004249AD"/>
    <w:rsid w:val="004824EA"/>
    <w:rsid w:val="00497545"/>
    <w:rsid w:val="0071558A"/>
    <w:rsid w:val="00721349"/>
    <w:rsid w:val="007774D4"/>
    <w:rsid w:val="00794D9D"/>
    <w:rsid w:val="007953D9"/>
    <w:rsid w:val="0089106A"/>
    <w:rsid w:val="00893811"/>
    <w:rsid w:val="008E0C4A"/>
    <w:rsid w:val="009F3D66"/>
    <w:rsid w:val="00A412EA"/>
    <w:rsid w:val="00A626E9"/>
    <w:rsid w:val="00BB7E77"/>
    <w:rsid w:val="00C60944"/>
    <w:rsid w:val="00CD7752"/>
    <w:rsid w:val="00D501D7"/>
    <w:rsid w:val="00D5571C"/>
    <w:rsid w:val="00E765DC"/>
    <w:rsid w:val="00F051C5"/>
    <w:rsid w:val="00F431C9"/>
    <w:rsid w:val="00F9476C"/>
    <w:rsid w:val="00F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AD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6E35-AD70-4133-8A18-6D6AB673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10</cp:revision>
  <cp:lastPrinted>2012-03-25T20:17:00Z</cp:lastPrinted>
  <dcterms:created xsi:type="dcterms:W3CDTF">2012-03-25T04:13:00Z</dcterms:created>
  <dcterms:modified xsi:type="dcterms:W3CDTF">2012-03-26T06:43:00Z</dcterms:modified>
</cp:coreProperties>
</file>