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D9" w:rsidRDefault="000E3ED9" w:rsidP="00B910F3">
      <w:pPr>
        <w:spacing w:after="0"/>
        <w:rPr>
          <w:rFonts w:ascii="Times New Roman" w:hAnsi="Times New Roman"/>
        </w:rPr>
      </w:pPr>
    </w:p>
    <w:p w:rsidR="000E3ED9" w:rsidRPr="00561769" w:rsidRDefault="000E3ED9" w:rsidP="00B910F3">
      <w:pPr>
        <w:spacing w:after="0"/>
        <w:rPr>
          <w:rFonts w:ascii="Times New Roman" w:hAnsi="Times New Roman"/>
        </w:rPr>
      </w:pPr>
      <w:r w:rsidRPr="00561769">
        <w:rPr>
          <w:rFonts w:ascii="Times New Roman" w:hAnsi="Times New Roman"/>
        </w:rPr>
        <w:t xml:space="preserve">Au Collège des Bourgmestre et Echevins de la commune de </w:t>
      </w:r>
      <w:proofErr w:type="spellStart"/>
      <w:r w:rsidRPr="00561769">
        <w:rPr>
          <w:rFonts w:ascii="Times New Roman" w:hAnsi="Times New Roman"/>
        </w:rPr>
        <w:t>Woluwé-Saint-Lambert</w:t>
      </w:r>
      <w:proofErr w:type="spellEnd"/>
    </w:p>
    <w:p w:rsidR="000E3ED9" w:rsidRPr="00561769" w:rsidRDefault="000E3ED9" w:rsidP="00B910F3">
      <w:pPr>
        <w:spacing w:after="0"/>
        <w:rPr>
          <w:rFonts w:ascii="Times New Roman" w:hAnsi="Times New Roman"/>
        </w:rPr>
      </w:pPr>
      <w:r w:rsidRPr="00561769">
        <w:rPr>
          <w:rFonts w:ascii="Times New Roman" w:hAnsi="Times New Roman"/>
        </w:rPr>
        <w:t xml:space="preserve">Avenue Paul </w:t>
      </w:r>
      <w:proofErr w:type="spellStart"/>
      <w:r w:rsidRPr="00561769">
        <w:rPr>
          <w:rFonts w:ascii="Times New Roman" w:hAnsi="Times New Roman"/>
        </w:rPr>
        <w:t>Hymans</w:t>
      </w:r>
      <w:proofErr w:type="spellEnd"/>
      <w:r w:rsidRPr="00561769">
        <w:rPr>
          <w:rFonts w:ascii="Times New Roman" w:hAnsi="Times New Roman"/>
        </w:rPr>
        <w:t>, 2</w:t>
      </w:r>
    </w:p>
    <w:p w:rsidR="000E3ED9" w:rsidRPr="00561769" w:rsidRDefault="000E3ED9" w:rsidP="00B910F3">
      <w:pPr>
        <w:spacing w:after="0"/>
        <w:rPr>
          <w:rFonts w:ascii="Times New Roman" w:hAnsi="Times New Roman"/>
        </w:rPr>
      </w:pPr>
      <w:r w:rsidRPr="00561769">
        <w:rPr>
          <w:rFonts w:ascii="Times New Roman" w:hAnsi="Times New Roman"/>
        </w:rPr>
        <w:t>1200-Bruxelles</w:t>
      </w:r>
    </w:p>
    <w:p w:rsidR="000E3ED9" w:rsidRPr="00561769" w:rsidRDefault="000E3ED9" w:rsidP="00B910F3">
      <w:pPr>
        <w:rPr>
          <w:rFonts w:ascii="Times New Roman" w:hAnsi="Times New Roman"/>
        </w:rPr>
      </w:pPr>
      <w:r w:rsidRPr="00561769">
        <w:rPr>
          <w:rFonts w:ascii="Times New Roman" w:hAnsi="Times New Roman"/>
        </w:rPr>
        <w:tab/>
      </w:r>
      <w:r w:rsidRPr="00561769">
        <w:rPr>
          <w:rFonts w:ascii="Times New Roman" w:hAnsi="Times New Roman"/>
        </w:rPr>
        <w:tab/>
      </w:r>
      <w:r w:rsidRPr="00561769">
        <w:rPr>
          <w:rFonts w:ascii="Times New Roman" w:hAnsi="Times New Roman"/>
        </w:rPr>
        <w:tab/>
      </w:r>
      <w:r w:rsidRPr="00561769">
        <w:rPr>
          <w:rFonts w:ascii="Times New Roman" w:hAnsi="Times New Roman"/>
        </w:rPr>
        <w:tab/>
      </w:r>
      <w:r w:rsidRPr="00561769">
        <w:rPr>
          <w:rFonts w:ascii="Times New Roman" w:hAnsi="Times New Roman"/>
        </w:rPr>
        <w:tab/>
      </w:r>
      <w:r w:rsidRPr="00561769">
        <w:rPr>
          <w:rFonts w:ascii="Times New Roman" w:hAnsi="Times New Roman"/>
        </w:rPr>
        <w:tab/>
      </w:r>
      <w:r w:rsidRPr="00561769">
        <w:rPr>
          <w:rFonts w:ascii="Times New Roman" w:hAnsi="Times New Roman"/>
        </w:rPr>
        <w:tab/>
      </w:r>
      <w:r w:rsidRPr="00561769">
        <w:rPr>
          <w:rFonts w:ascii="Times New Roman" w:hAnsi="Times New Roman"/>
        </w:rPr>
        <w:tab/>
        <w:t xml:space="preserve">Bruxelles, le  </w:t>
      </w:r>
      <w:r w:rsidR="00B34B8B">
        <w:rPr>
          <w:rFonts w:ascii="Times New Roman" w:hAnsi="Times New Roman"/>
        </w:rPr>
        <w:t>10</w:t>
      </w:r>
      <w:r w:rsidRPr="00561769">
        <w:rPr>
          <w:rFonts w:ascii="Times New Roman" w:hAnsi="Times New Roman"/>
        </w:rPr>
        <w:t xml:space="preserve"> septembre 2014</w:t>
      </w:r>
    </w:p>
    <w:p w:rsidR="000E3ED9" w:rsidRPr="00561769" w:rsidRDefault="000E3ED9" w:rsidP="00B910F3">
      <w:pPr>
        <w:rPr>
          <w:rFonts w:ascii="Times New Roman" w:hAnsi="Times New Roman"/>
        </w:rPr>
      </w:pPr>
      <w:r w:rsidRPr="00561769">
        <w:rPr>
          <w:rFonts w:ascii="Times New Roman" w:hAnsi="Times New Roman"/>
        </w:rPr>
        <w:t>Mesdames, Messieurs</w:t>
      </w:r>
    </w:p>
    <w:p w:rsidR="000E3ED9" w:rsidRPr="00561769" w:rsidRDefault="000E3ED9" w:rsidP="00B910F3">
      <w:pPr>
        <w:rPr>
          <w:rFonts w:ascii="Times New Roman" w:hAnsi="Times New Roman"/>
        </w:rPr>
      </w:pPr>
    </w:p>
    <w:p w:rsidR="000E3ED9" w:rsidRPr="00561769" w:rsidRDefault="000E3ED9" w:rsidP="00B910F3">
      <w:pPr>
        <w:jc w:val="both"/>
        <w:rPr>
          <w:rFonts w:ascii="Times New Roman" w:hAnsi="Times New Roman"/>
        </w:rPr>
      </w:pPr>
      <w:r w:rsidRPr="00561769">
        <w:rPr>
          <w:rFonts w:ascii="Times New Roman" w:hAnsi="Times New Roman"/>
        </w:rPr>
        <w:t xml:space="preserve">Nous vous écrivons au sujet de l’enquête publique qui concerne la construction de 61 logements à la chaussée de Roodebeek, la rue d’Octobre et l’avenue </w:t>
      </w:r>
      <w:proofErr w:type="spellStart"/>
      <w:r w:rsidRPr="00561769">
        <w:rPr>
          <w:rFonts w:ascii="Times New Roman" w:hAnsi="Times New Roman"/>
          <w:lang w:val="fr-FR"/>
        </w:rPr>
        <w:t>Heydenberg</w:t>
      </w:r>
      <w:proofErr w:type="spellEnd"/>
      <w:r w:rsidRPr="00561769">
        <w:rPr>
          <w:rFonts w:ascii="Times New Roman" w:hAnsi="Times New Roman"/>
        </w:rPr>
        <w:t xml:space="preserve"> </w:t>
      </w:r>
      <w:r w:rsidRPr="00561769">
        <w:rPr>
          <w:rFonts w:ascii="Times New Roman" w:hAnsi="Times New Roman"/>
          <w:lang w:val="fr-FR"/>
        </w:rPr>
        <w:t>afin</w:t>
      </w:r>
      <w:r w:rsidRPr="00561769">
        <w:rPr>
          <w:rFonts w:ascii="Times New Roman" w:hAnsi="Times New Roman"/>
        </w:rPr>
        <w:t xml:space="preserve"> </w:t>
      </w:r>
      <w:r w:rsidRPr="00561769">
        <w:rPr>
          <w:rFonts w:ascii="Times New Roman" w:hAnsi="Times New Roman"/>
          <w:lang w:val="fr-FR"/>
        </w:rPr>
        <w:t>de</w:t>
      </w:r>
      <w:r w:rsidRPr="00561769">
        <w:rPr>
          <w:rFonts w:ascii="Times New Roman" w:hAnsi="Times New Roman"/>
        </w:rPr>
        <w:t xml:space="preserve"> </w:t>
      </w:r>
      <w:r w:rsidRPr="00561769">
        <w:rPr>
          <w:rFonts w:ascii="Times New Roman" w:hAnsi="Times New Roman"/>
          <w:lang w:val="fr-FR"/>
        </w:rPr>
        <w:t>manifester</w:t>
      </w:r>
      <w:r w:rsidRPr="00561769">
        <w:rPr>
          <w:rFonts w:ascii="Times New Roman" w:hAnsi="Times New Roman"/>
        </w:rPr>
        <w:t xml:space="preserve"> </w:t>
      </w:r>
      <w:r w:rsidRPr="00561769">
        <w:rPr>
          <w:rFonts w:ascii="Times New Roman" w:hAnsi="Times New Roman"/>
          <w:lang w:val="fr-FR"/>
        </w:rPr>
        <w:t>notre</w:t>
      </w:r>
      <w:r w:rsidRPr="00561769">
        <w:rPr>
          <w:rFonts w:ascii="Times New Roman" w:hAnsi="Times New Roman"/>
        </w:rPr>
        <w:t xml:space="preserve"> mécontentement </w:t>
      </w:r>
      <w:r w:rsidRPr="00561769">
        <w:rPr>
          <w:rFonts w:ascii="Times New Roman" w:hAnsi="Times New Roman"/>
          <w:lang w:val="fr-FR"/>
        </w:rPr>
        <w:t>quant</w:t>
      </w:r>
      <w:r w:rsidRPr="00561769">
        <w:rPr>
          <w:rFonts w:ascii="Times New Roman" w:hAnsi="Times New Roman"/>
        </w:rPr>
        <w:t xml:space="preserve"> au </w:t>
      </w:r>
      <w:r w:rsidRPr="00561769">
        <w:rPr>
          <w:rFonts w:ascii="Times New Roman" w:hAnsi="Times New Roman"/>
          <w:lang w:val="fr-FR"/>
        </w:rPr>
        <w:t>projet</w:t>
      </w:r>
      <w:r w:rsidRPr="00561769">
        <w:rPr>
          <w:rFonts w:ascii="Times New Roman" w:hAnsi="Times New Roman"/>
        </w:rPr>
        <w:t xml:space="preserve"> proposé </w:t>
      </w:r>
      <w:r w:rsidRPr="00561769">
        <w:rPr>
          <w:rFonts w:ascii="Times New Roman" w:hAnsi="Times New Roman"/>
          <w:lang w:val="fr-FR"/>
        </w:rPr>
        <w:t>à</w:t>
      </w:r>
      <w:r w:rsidRPr="00561769">
        <w:rPr>
          <w:rFonts w:ascii="Times New Roman" w:hAnsi="Times New Roman"/>
        </w:rPr>
        <w:t xml:space="preserve"> l’</w:t>
      </w:r>
      <w:r w:rsidRPr="00561769">
        <w:rPr>
          <w:rFonts w:ascii="Times New Roman" w:hAnsi="Times New Roman"/>
          <w:lang w:val="fr-FR"/>
        </w:rPr>
        <w:t>enquête publique</w:t>
      </w:r>
      <w:r w:rsidRPr="00561769">
        <w:rPr>
          <w:rFonts w:ascii="Times New Roman" w:hAnsi="Times New Roman"/>
        </w:rPr>
        <w:t xml:space="preserve">. </w:t>
      </w:r>
    </w:p>
    <w:p w:rsidR="000E3ED9" w:rsidRPr="00561769" w:rsidRDefault="000E3ED9" w:rsidP="00CA1A7E">
      <w:pPr>
        <w:jc w:val="both"/>
        <w:rPr>
          <w:rFonts w:ascii="Times New Roman" w:hAnsi="Times New Roman"/>
        </w:rPr>
      </w:pPr>
      <w:r w:rsidRPr="00561769">
        <w:rPr>
          <w:rFonts w:ascii="Times New Roman" w:hAnsi="Times New Roman"/>
        </w:rPr>
        <w:t xml:space="preserve">Le projet </w:t>
      </w:r>
      <w:r w:rsidRPr="00561769">
        <w:rPr>
          <w:rFonts w:ascii="Times New Roman" w:hAnsi="Times New Roman"/>
          <w:lang w:val="fr-FR"/>
        </w:rPr>
        <w:t>est</w:t>
      </w:r>
      <w:r w:rsidRPr="00561769">
        <w:rPr>
          <w:rFonts w:ascii="Times New Roman" w:hAnsi="Times New Roman"/>
        </w:rPr>
        <w:t xml:space="preserve"> démesuré, il est massif par son gabarit et ne s’intègre pas dans le style ni dans l’architecture des constructions </w:t>
      </w:r>
      <w:r w:rsidR="00B34B8B">
        <w:rPr>
          <w:rFonts w:ascii="Times New Roman" w:hAnsi="Times New Roman"/>
        </w:rPr>
        <w:t xml:space="preserve">voisines de ce quartier de </w:t>
      </w:r>
      <w:proofErr w:type="spellStart"/>
      <w:r w:rsidR="00B34B8B">
        <w:rPr>
          <w:rFonts w:ascii="Times New Roman" w:hAnsi="Times New Roman"/>
        </w:rPr>
        <w:t>Woluwé-</w:t>
      </w:r>
      <w:r w:rsidRPr="00561769">
        <w:rPr>
          <w:rFonts w:ascii="Times New Roman" w:hAnsi="Times New Roman"/>
        </w:rPr>
        <w:t>Saint</w:t>
      </w:r>
      <w:r w:rsidR="00B34B8B">
        <w:rPr>
          <w:rFonts w:ascii="Times New Roman" w:hAnsi="Times New Roman"/>
        </w:rPr>
        <w:t>-</w:t>
      </w:r>
      <w:r w:rsidRPr="00561769">
        <w:rPr>
          <w:rFonts w:ascii="Times New Roman" w:hAnsi="Times New Roman"/>
        </w:rPr>
        <w:t>Lambert</w:t>
      </w:r>
      <w:proofErr w:type="spellEnd"/>
      <w:r w:rsidRPr="00561769">
        <w:rPr>
          <w:rFonts w:ascii="Times New Roman" w:hAnsi="Times New Roman"/>
        </w:rPr>
        <w:t xml:space="preserve">. Nous </w:t>
      </w:r>
      <w:r w:rsidRPr="00561769">
        <w:rPr>
          <w:rFonts w:ascii="Times New Roman" w:hAnsi="Times New Roman"/>
          <w:lang w:val="fr-FR"/>
        </w:rPr>
        <w:t xml:space="preserve">souhaitons que </w:t>
      </w:r>
      <w:r w:rsidRPr="00561769">
        <w:rPr>
          <w:rFonts w:ascii="Times New Roman" w:hAnsi="Times New Roman"/>
        </w:rPr>
        <w:t xml:space="preserve">le promoteur, les autorités communales (qui sont notamment  propriétaires du terrain qui forme le coin </w:t>
      </w:r>
      <w:proofErr w:type="spellStart"/>
      <w:r w:rsidRPr="00561769">
        <w:rPr>
          <w:rFonts w:ascii="Times New Roman" w:hAnsi="Times New Roman"/>
        </w:rPr>
        <w:t>Heydenberg</w:t>
      </w:r>
      <w:proofErr w:type="spellEnd"/>
      <w:r w:rsidRPr="00561769">
        <w:rPr>
          <w:rFonts w:ascii="Times New Roman" w:hAnsi="Times New Roman"/>
        </w:rPr>
        <w:t xml:space="preserve">/Roodebeek) et les habitants du quartier mènent une réflexion d’ensemble sur les terrains encore libres et </w:t>
      </w:r>
      <w:r w:rsidRPr="00561769">
        <w:rPr>
          <w:rFonts w:ascii="Times New Roman" w:hAnsi="Times New Roman"/>
          <w:lang w:val="fr-FR"/>
        </w:rPr>
        <w:t>sur</w:t>
      </w:r>
      <w:r w:rsidRPr="00561769">
        <w:rPr>
          <w:rFonts w:ascii="Times New Roman" w:hAnsi="Times New Roman"/>
        </w:rPr>
        <w:t xml:space="preserve"> la </w:t>
      </w:r>
      <w:r w:rsidRPr="00561769">
        <w:rPr>
          <w:rFonts w:ascii="Times New Roman" w:hAnsi="Times New Roman"/>
          <w:lang w:val="fr-FR"/>
        </w:rPr>
        <w:t>nature</w:t>
      </w:r>
      <w:r w:rsidRPr="00561769">
        <w:rPr>
          <w:rFonts w:ascii="Times New Roman" w:hAnsi="Times New Roman"/>
        </w:rPr>
        <w:t xml:space="preserve"> du projet.</w:t>
      </w:r>
    </w:p>
    <w:p w:rsidR="000E3ED9" w:rsidRPr="00561769" w:rsidRDefault="000E3ED9" w:rsidP="00123F79">
      <w:pPr>
        <w:jc w:val="both"/>
        <w:rPr>
          <w:rFonts w:ascii="Times New Roman" w:hAnsi="Times New Roman"/>
          <w:lang w:val="fr-FR"/>
        </w:rPr>
      </w:pPr>
      <w:r w:rsidRPr="00561769">
        <w:rPr>
          <w:rFonts w:ascii="Times New Roman" w:hAnsi="Times New Roman"/>
        </w:rPr>
        <w:t xml:space="preserve">Le projet prévoit la construction de 61 logements sur une superficie de 39 ares, et donc une forte augmentation de la densité ; de 18 logements à l’hectare </w:t>
      </w:r>
      <w:r>
        <w:rPr>
          <w:rFonts w:ascii="Times New Roman" w:hAnsi="Times New Roman"/>
        </w:rPr>
        <w:t xml:space="preserve">on passe </w:t>
      </w:r>
      <w:r w:rsidRPr="00561769">
        <w:rPr>
          <w:rFonts w:ascii="Times New Roman" w:hAnsi="Times New Roman"/>
        </w:rPr>
        <w:t xml:space="preserve">à 156,  ce qui constitue une densité de logements totalement déraisonnable par rapport </w:t>
      </w:r>
      <w:r w:rsidRPr="00561769">
        <w:rPr>
          <w:rFonts w:ascii="Times New Roman" w:hAnsi="Times New Roman"/>
          <w:lang w:val="fr-FR"/>
        </w:rPr>
        <w:t>à</w:t>
      </w:r>
      <w:r w:rsidRPr="00561769">
        <w:rPr>
          <w:rFonts w:ascii="Times New Roman" w:hAnsi="Times New Roman"/>
        </w:rPr>
        <w:t xml:space="preserve"> l’</w:t>
      </w:r>
      <w:r w:rsidRPr="00561769">
        <w:rPr>
          <w:rFonts w:ascii="Times New Roman" w:hAnsi="Times New Roman"/>
          <w:lang w:val="fr-FR"/>
        </w:rPr>
        <w:t>ilot</w:t>
      </w:r>
      <w:r w:rsidRPr="00561769">
        <w:rPr>
          <w:rFonts w:ascii="Times New Roman" w:hAnsi="Times New Roman"/>
        </w:rPr>
        <w:t xml:space="preserve"> dans </w:t>
      </w:r>
      <w:r w:rsidRPr="00561769">
        <w:rPr>
          <w:rFonts w:ascii="Times New Roman" w:hAnsi="Times New Roman"/>
          <w:lang w:val="fr-FR"/>
        </w:rPr>
        <w:t>lequel</w:t>
      </w:r>
      <w:r w:rsidRPr="00561769">
        <w:rPr>
          <w:rFonts w:ascii="Times New Roman" w:hAnsi="Times New Roman"/>
        </w:rPr>
        <w:t xml:space="preserve"> </w:t>
      </w:r>
      <w:r w:rsidRPr="00561769">
        <w:rPr>
          <w:rFonts w:ascii="Times New Roman" w:hAnsi="Times New Roman"/>
          <w:lang w:val="fr-FR"/>
        </w:rPr>
        <w:t>il s’inscrit.</w:t>
      </w:r>
    </w:p>
    <w:p w:rsidR="000E3ED9" w:rsidRPr="00561769" w:rsidRDefault="000E3ED9" w:rsidP="00A9491E">
      <w:pPr>
        <w:tabs>
          <w:tab w:val="left" w:pos="567"/>
          <w:tab w:val="left" w:pos="1418"/>
          <w:tab w:val="left" w:pos="5660"/>
        </w:tabs>
        <w:ind w:right="-147"/>
        <w:jc w:val="both"/>
        <w:rPr>
          <w:rFonts w:ascii="Times New Roman" w:hAnsi="Times New Roman"/>
          <w:lang w:val="fr-FR"/>
        </w:rPr>
      </w:pPr>
      <w:r w:rsidRPr="00561769">
        <w:rPr>
          <w:rFonts w:ascii="Times New Roman" w:hAnsi="Times New Roman"/>
        </w:rPr>
        <w:t xml:space="preserve">Pour arriver à cette fin, le projet prévoit la destruction – </w:t>
      </w:r>
      <w:r w:rsidRPr="00561769">
        <w:rPr>
          <w:rFonts w:ascii="Times New Roman" w:hAnsi="Times New Roman"/>
          <w:lang w:val="fr-FR"/>
        </w:rPr>
        <w:t>regrettable</w:t>
      </w:r>
      <w:r w:rsidRPr="00561769">
        <w:rPr>
          <w:rFonts w:ascii="Times New Roman" w:hAnsi="Times New Roman"/>
        </w:rPr>
        <w:t xml:space="preserve"> - de 7 maisons anciennes </w:t>
      </w:r>
      <w:r w:rsidR="00B34B8B">
        <w:rPr>
          <w:rFonts w:ascii="Times New Roman" w:hAnsi="Times New Roman"/>
        </w:rPr>
        <w:t>(</w:t>
      </w:r>
      <w:r w:rsidRPr="00561769">
        <w:rPr>
          <w:rFonts w:ascii="Times New Roman" w:hAnsi="Times New Roman"/>
        </w:rPr>
        <w:t>et entrepôts</w:t>
      </w:r>
      <w:r w:rsidR="00B34B8B">
        <w:rPr>
          <w:rFonts w:ascii="Times New Roman" w:hAnsi="Times New Roman"/>
        </w:rPr>
        <w:t>)</w:t>
      </w:r>
      <w:r w:rsidRPr="00561769">
        <w:rPr>
          <w:rFonts w:ascii="Times New Roman" w:hAnsi="Times New Roman"/>
        </w:rPr>
        <w:t xml:space="preserve"> qui sont les témoins du passé de la chaussée de Roodebeek, et propose de construire à la place des immeubles à </w:t>
      </w:r>
      <w:proofErr w:type="spellStart"/>
      <w:r w:rsidRPr="00561769">
        <w:rPr>
          <w:rFonts w:ascii="Times New Roman" w:hAnsi="Times New Roman"/>
        </w:rPr>
        <w:t>ap</w:t>
      </w:r>
      <w:r w:rsidR="00B34B8B">
        <w:rPr>
          <w:rFonts w:ascii="Times New Roman" w:hAnsi="Times New Roman"/>
          <w:lang w:val="fr-FR"/>
        </w:rPr>
        <w:t>p</w:t>
      </w:r>
      <w:r w:rsidRPr="00561769">
        <w:rPr>
          <w:rFonts w:ascii="Times New Roman" w:hAnsi="Times New Roman"/>
          <w:lang w:val="fr-FR"/>
        </w:rPr>
        <w:t>artement</w:t>
      </w:r>
      <w:r w:rsidR="00B34B8B">
        <w:rPr>
          <w:rFonts w:ascii="Times New Roman" w:hAnsi="Times New Roman"/>
          <w:lang w:val="fr-FR"/>
        </w:rPr>
        <w:t>s</w:t>
      </w:r>
      <w:proofErr w:type="spellEnd"/>
      <w:r w:rsidR="00B34B8B">
        <w:rPr>
          <w:rFonts w:ascii="Times New Roman" w:hAnsi="Times New Roman"/>
          <w:lang w:val="fr-FR"/>
        </w:rPr>
        <w:t xml:space="preserve">, alors que ce quartier a encore un </w:t>
      </w:r>
      <w:r w:rsidRPr="00561769">
        <w:rPr>
          <w:rFonts w:ascii="Times New Roman" w:hAnsi="Times New Roman"/>
          <w:lang w:val="fr-FR"/>
        </w:rPr>
        <w:t xml:space="preserve">caractère </w:t>
      </w:r>
      <w:r w:rsidR="00B34B8B">
        <w:rPr>
          <w:rFonts w:ascii="Times New Roman" w:hAnsi="Times New Roman"/>
          <w:lang w:val="fr-FR"/>
        </w:rPr>
        <w:t xml:space="preserve">très </w:t>
      </w:r>
      <w:r w:rsidRPr="00561769">
        <w:rPr>
          <w:rFonts w:ascii="Times New Roman" w:hAnsi="Times New Roman"/>
          <w:lang w:val="fr-FR"/>
        </w:rPr>
        <w:t>convivial.</w:t>
      </w:r>
    </w:p>
    <w:p w:rsidR="000E3ED9" w:rsidRPr="000934EB" w:rsidRDefault="000E3ED9" w:rsidP="00A9491E">
      <w:pPr>
        <w:tabs>
          <w:tab w:val="left" w:pos="567"/>
          <w:tab w:val="left" w:pos="1418"/>
          <w:tab w:val="left" w:pos="5660"/>
        </w:tabs>
        <w:ind w:right="-147"/>
        <w:jc w:val="both"/>
        <w:rPr>
          <w:rFonts w:ascii="Times New Roman" w:hAnsi="Times New Roman"/>
        </w:rPr>
      </w:pPr>
      <w:r w:rsidRPr="00561769">
        <w:rPr>
          <w:rFonts w:ascii="Times New Roman" w:hAnsi="Times New Roman"/>
        </w:rPr>
        <w:t>Plus encore, il ambitionne de dépasser les normes existantes en termes de gabarit en visant des hauteurs incompatibles avec l’habitat environnant. Ce rehaussement est encore plus flagrant à la</w:t>
      </w:r>
      <w:r w:rsidRPr="000934EB">
        <w:rPr>
          <w:rFonts w:ascii="Times New Roman" w:hAnsi="Times New Roman"/>
        </w:rPr>
        <w:t xml:space="preserve"> rue d’Octobre </w:t>
      </w:r>
      <w:r>
        <w:rPr>
          <w:rFonts w:ascii="Times New Roman" w:hAnsi="Times New Roman"/>
        </w:rPr>
        <w:t>(</w:t>
      </w:r>
      <w:proofErr w:type="spellStart"/>
      <w:r>
        <w:rPr>
          <w:rFonts w:ascii="Times New Roman" w:hAnsi="Times New Roman"/>
          <w:lang w:val="fr-FR"/>
        </w:rPr>
        <w:t>rez</w:t>
      </w:r>
      <w:proofErr w:type="spellEnd"/>
      <w:r>
        <w:rPr>
          <w:rFonts w:ascii="Times New Roman" w:hAnsi="Times New Roman"/>
        </w:rPr>
        <w:t xml:space="preserve"> + 4</w:t>
      </w:r>
      <w:r w:rsidRPr="000934EB">
        <w:rPr>
          <w:rFonts w:ascii="Times New Roman" w:hAnsi="Times New Roman"/>
        </w:rPr>
        <w:t xml:space="preserve">) </w:t>
      </w:r>
      <w:r>
        <w:rPr>
          <w:rFonts w:ascii="Times New Roman" w:hAnsi="Times New Roman"/>
        </w:rPr>
        <w:t>composée exclusivement de</w:t>
      </w:r>
      <w:r w:rsidRPr="000934EB">
        <w:rPr>
          <w:rFonts w:ascii="Times New Roman" w:hAnsi="Times New Roman"/>
        </w:rPr>
        <w:t xml:space="preserve"> maisons unifamiliales. Cette augmentation de gabarit aura un effet d’encaissement et de couloir sombre dans ces deux rues qui sont particulièrement étroites sans oublier </w:t>
      </w:r>
      <w:r w:rsidRPr="00FA35BE">
        <w:rPr>
          <w:rFonts w:ascii="Times New Roman" w:hAnsi="Times New Roman"/>
        </w:rPr>
        <w:t>que la rue d’Octobre serait aussi dominée par une « tour » d</w:t>
      </w:r>
      <w:r>
        <w:rPr>
          <w:rFonts w:ascii="Times New Roman" w:hAnsi="Times New Roman"/>
        </w:rPr>
        <w:t xml:space="preserve">e </w:t>
      </w:r>
      <w:smartTag w:uri="urn:schemas-microsoft-com:office:smarttags" w:element="metricconverter">
        <w:smartTagPr>
          <w:attr w:name="ProductID" w:val="17 mètres"/>
        </w:smartTagPr>
        <w:r w:rsidRPr="00FA35BE">
          <w:rPr>
            <w:rFonts w:ascii="Times New Roman" w:hAnsi="Times New Roman"/>
          </w:rPr>
          <w:t>17 mètres</w:t>
        </w:r>
      </w:smartTag>
      <w:r w:rsidRPr="00FA35BE">
        <w:rPr>
          <w:rFonts w:ascii="Times New Roman" w:hAnsi="Times New Roman"/>
        </w:rPr>
        <w:t xml:space="preserve"> située à l’angle </w:t>
      </w:r>
      <w:proofErr w:type="spellStart"/>
      <w:r w:rsidRPr="00FA35BE">
        <w:rPr>
          <w:rFonts w:ascii="Times New Roman" w:hAnsi="Times New Roman"/>
          <w:lang w:val="fr-FR"/>
        </w:rPr>
        <w:t>Heydenberg</w:t>
      </w:r>
      <w:proofErr w:type="spellEnd"/>
      <w:r>
        <w:rPr>
          <w:rFonts w:ascii="Times New Roman" w:hAnsi="Times New Roman"/>
        </w:rPr>
        <w:t xml:space="preserve"> </w:t>
      </w:r>
      <w:r w:rsidRPr="00FA35BE">
        <w:rPr>
          <w:rFonts w:ascii="Times New Roman" w:hAnsi="Times New Roman"/>
        </w:rPr>
        <w:t>/</w:t>
      </w:r>
      <w:r>
        <w:rPr>
          <w:rFonts w:ascii="Times New Roman" w:hAnsi="Times New Roman"/>
        </w:rPr>
        <w:t xml:space="preserve"> </w:t>
      </w:r>
      <w:r w:rsidRPr="00FA35BE">
        <w:rPr>
          <w:rFonts w:ascii="Times New Roman" w:hAnsi="Times New Roman"/>
        </w:rPr>
        <w:t xml:space="preserve">Octobre et en surplomb de </w:t>
      </w:r>
      <w:smartTag w:uri="urn:schemas-microsoft-com:office:smarttags" w:element="metricconverter">
        <w:smartTagPr>
          <w:attr w:name="ProductID" w:val="21 mètres"/>
        </w:smartTagPr>
        <w:r w:rsidRPr="00FA35BE">
          <w:rPr>
            <w:rFonts w:ascii="Times New Roman" w:hAnsi="Times New Roman"/>
          </w:rPr>
          <w:t>21 mètres</w:t>
        </w:r>
      </w:smartTag>
      <w:r w:rsidRPr="00FA35BE">
        <w:rPr>
          <w:rFonts w:ascii="Times New Roman" w:hAnsi="Times New Roman"/>
        </w:rPr>
        <w:t xml:space="preserve"> par rapport aux jardins d'intérieur d'îlot.</w:t>
      </w:r>
    </w:p>
    <w:p w:rsidR="000E3ED9" w:rsidRPr="005A0571" w:rsidRDefault="000E3ED9" w:rsidP="000934EB">
      <w:pPr>
        <w:jc w:val="both"/>
        <w:rPr>
          <w:rFonts w:ascii="Times New Roman" w:hAnsi="Times New Roman"/>
        </w:rPr>
      </w:pPr>
      <w:r w:rsidRPr="000934EB">
        <w:rPr>
          <w:rFonts w:ascii="Times New Roman" w:hAnsi="Times New Roman"/>
        </w:rPr>
        <w:t>L’accès au parking (et la sortie) par la chaussée de Rood</w:t>
      </w:r>
      <w:r>
        <w:rPr>
          <w:rFonts w:ascii="Times New Roman" w:hAnsi="Times New Roman"/>
        </w:rPr>
        <w:t>ebeek est une erreur</w:t>
      </w:r>
      <w:r w:rsidRPr="000934EB">
        <w:rPr>
          <w:rFonts w:ascii="Times New Roman" w:hAnsi="Times New Roman"/>
        </w:rPr>
        <w:t xml:space="preserve"> ; </w:t>
      </w:r>
      <w:r>
        <w:rPr>
          <w:rFonts w:ascii="Times New Roman" w:hAnsi="Times New Roman"/>
          <w:lang w:val="fr-FR"/>
        </w:rPr>
        <w:t>il</w:t>
      </w:r>
      <w:r>
        <w:rPr>
          <w:rFonts w:ascii="Times New Roman" w:hAnsi="Times New Roman"/>
        </w:rPr>
        <w:t xml:space="preserve"> n’est pas </w:t>
      </w:r>
      <w:r>
        <w:rPr>
          <w:rFonts w:ascii="Times New Roman" w:hAnsi="Times New Roman"/>
          <w:lang w:val="fr-FR"/>
        </w:rPr>
        <w:t>raisonnable</w:t>
      </w:r>
      <w:r>
        <w:rPr>
          <w:rFonts w:ascii="Times New Roman" w:hAnsi="Times New Roman"/>
        </w:rPr>
        <w:t xml:space="preserve"> </w:t>
      </w:r>
      <w:r>
        <w:rPr>
          <w:rFonts w:ascii="Times New Roman" w:hAnsi="Times New Roman"/>
          <w:lang w:val="fr-FR"/>
        </w:rPr>
        <w:t>de</w:t>
      </w:r>
      <w:r>
        <w:rPr>
          <w:rFonts w:ascii="Times New Roman" w:hAnsi="Times New Roman"/>
        </w:rPr>
        <w:t xml:space="preserve"> </w:t>
      </w:r>
      <w:r>
        <w:rPr>
          <w:rFonts w:ascii="Times New Roman" w:hAnsi="Times New Roman"/>
          <w:lang w:val="fr-FR"/>
        </w:rPr>
        <w:t>faire</w:t>
      </w:r>
      <w:r>
        <w:rPr>
          <w:rFonts w:ascii="Times New Roman" w:hAnsi="Times New Roman"/>
        </w:rPr>
        <w:t xml:space="preserve"> </w:t>
      </w:r>
      <w:r w:rsidRPr="000934EB">
        <w:rPr>
          <w:rFonts w:ascii="Times New Roman" w:hAnsi="Times New Roman"/>
        </w:rPr>
        <w:t xml:space="preserve">traverser les voitures de ces 61 logements par le périmètre intérieur du quartier </w:t>
      </w:r>
      <w:r>
        <w:rPr>
          <w:rFonts w:ascii="Times New Roman" w:hAnsi="Times New Roman"/>
        </w:rPr>
        <w:t xml:space="preserve">qui est </w:t>
      </w:r>
      <w:r w:rsidRPr="000934EB">
        <w:rPr>
          <w:rFonts w:ascii="Times New Roman" w:hAnsi="Times New Roman"/>
        </w:rPr>
        <w:t xml:space="preserve">constitué de rues </w:t>
      </w:r>
      <w:r>
        <w:rPr>
          <w:rFonts w:ascii="Times New Roman" w:hAnsi="Times New Roman"/>
        </w:rPr>
        <w:t xml:space="preserve">locales fort étroites, à sens unique, </w:t>
      </w:r>
      <w:r w:rsidRPr="000934EB">
        <w:rPr>
          <w:rFonts w:ascii="Times New Roman" w:hAnsi="Times New Roman"/>
        </w:rPr>
        <w:t>alors qu’il suffit d’ouvrir l’accès au p</w:t>
      </w:r>
      <w:r>
        <w:rPr>
          <w:rFonts w:ascii="Times New Roman" w:hAnsi="Times New Roman"/>
        </w:rPr>
        <w:t xml:space="preserve">arking par l’avenue </w:t>
      </w:r>
      <w:proofErr w:type="spellStart"/>
      <w:r>
        <w:rPr>
          <w:rFonts w:ascii="Times New Roman" w:hAnsi="Times New Roman"/>
        </w:rPr>
        <w:t>Heydenberg</w:t>
      </w:r>
      <w:proofErr w:type="spellEnd"/>
      <w:r>
        <w:rPr>
          <w:rFonts w:ascii="Times New Roman" w:hAnsi="Times New Roman"/>
        </w:rPr>
        <w:t xml:space="preserve">. C’est aussi </w:t>
      </w:r>
      <w:r>
        <w:rPr>
          <w:rFonts w:ascii="Times New Roman" w:hAnsi="Times New Roman"/>
          <w:lang w:val="fr-FR"/>
        </w:rPr>
        <w:t>valable</w:t>
      </w:r>
      <w:r>
        <w:rPr>
          <w:rFonts w:ascii="Times New Roman" w:hAnsi="Times New Roman"/>
        </w:rPr>
        <w:t xml:space="preserve"> </w:t>
      </w:r>
      <w:r>
        <w:rPr>
          <w:rFonts w:ascii="Times New Roman" w:hAnsi="Times New Roman"/>
          <w:lang w:val="fr-FR"/>
        </w:rPr>
        <w:t>pour</w:t>
      </w:r>
      <w:r>
        <w:rPr>
          <w:rFonts w:ascii="Times New Roman" w:hAnsi="Times New Roman"/>
        </w:rPr>
        <w:t xml:space="preserve"> </w:t>
      </w:r>
      <w:r>
        <w:rPr>
          <w:rFonts w:ascii="Times New Roman" w:hAnsi="Times New Roman"/>
          <w:lang w:val="fr-FR"/>
        </w:rPr>
        <w:t>le</w:t>
      </w:r>
      <w:r>
        <w:rPr>
          <w:rFonts w:ascii="Times New Roman" w:hAnsi="Times New Roman"/>
        </w:rPr>
        <w:t xml:space="preserve"> </w:t>
      </w:r>
      <w:r>
        <w:rPr>
          <w:rFonts w:ascii="Times New Roman" w:hAnsi="Times New Roman"/>
          <w:lang w:val="fr-FR"/>
        </w:rPr>
        <w:t>charroi</w:t>
      </w:r>
      <w:r>
        <w:rPr>
          <w:rFonts w:ascii="Times New Roman" w:hAnsi="Times New Roman"/>
        </w:rPr>
        <w:t xml:space="preserve"> </w:t>
      </w:r>
      <w:r>
        <w:rPr>
          <w:rFonts w:ascii="Times New Roman" w:hAnsi="Times New Roman"/>
          <w:lang w:val="fr-FR"/>
        </w:rPr>
        <w:t>de</w:t>
      </w:r>
      <w:r>
        <w:rPr>
          <w:rFonts w:ascii="Times New Roman" w:hAnsi="Times New Roman"/>
        </w:rPr>
        <w:t xml:space="preserve"> </w:t>
      </w:r>
      <w:r>
        <w:rPr>
          <w:rFonts w:ascii="Times New Roman" w:hAnsi="Times New Roman"/>
          <w:lang w:val="fr-FR"/>
        </w:rPr>
        <w:t>camions</w:t>
      </w:r>
      <w:r>
        <w:rPr>
          <w:rFonts w:ascii="Times New Roman" w:hAnsi="Times New Roman"/>
        </w:rPr>
        <w:t xml:space="preserve"> durant les deux </w:t>
      </w:r>
      <w:r>
        <w:rPr>
          <w:rFonts w:ascii="Times New Roman" w:hAnsi="Times New Roman"/>
          <w:lang w:val="fr-FR"/>
        </w:rPr>
        <w:t>ans</w:t>
      </w:r>
      <w:r>
        <w:rPr>
          <w:rFonts w:ascii="Times New Roman" w:hAnsi="Times New Roman"/>
        </w:rPr>
        <w:t xml:space="preserve"> </w:t>
      </w:r>
      <w:r>
        <w:rPr>
          <w:rFonts w:ascii="Times New Roman" w:hAnsi="Times New Roman"/>
          <w:lang w:val="fr-FR"/>
        </w:rPr>
        <w:t>de</w:t>
      </w:r>
      <w:r>
        <w:rPr>
          <w:rFonts w:ascii="Times New Roman" w:hAnsi="Times New Roman"/>
        </w:rPr>
        <w:t xml:space="preserve"> </w:t>
      </w:r>
      <w:r>
        <w:rPr>
          <w:rFonts w:ascii="Times New Roman" w:hAnsi="Times New Roman"/>
          <w:lang w:val="fr-FR"/>
        </w:rPr>
        <w:t>chantier</w:t>
      </w:r>
      <w:r>
        <w:rPr>
          <w:rFonts w:ascii="Times New Roman" w:hAnsi="Times New Roman"/>
        </w:rPr>
        <w:t xml:space="preserve">. Par ailleurs le nombre de parkings prévus dans le projet n’absorbera pas les besoins réels </w:t>
      </w:r>
      <w:r w:rsidR="00B34B8B">
        <w:rPr>
          <w:rFonts w:ascii="Times New Roman" w:hAnsi="Times New Roman"/>
        </w:rPr>
        <w:t xml:space="preserve">de stationnement </w:t>
      </w:r>
      <w:r>
        <w:rPr>
          <w:rFonts w:ascii="Times New Roman" w:hAnsi="Times New Roman"/>
        </w:rPr>
        <w:t>et multipliera les voitures ventouses.</w:t>
      </w:r>
    </w:p>
    <w:p w:rsidR="000E3ED9" w:rsidRPr="000934EB" w:rsidRDefault="000E3ED9" w:rsidP="00EF7358">
      <w:pPr>
        <w:jc w:val="both"/>
        <w:rPr>
          <w:rFonts w:ascii="Times New Roman" w:hAnsi="Times New Roman"/>
        </w:rPr>
      </w:pPr>
      <w:r w:rsidRPr="000934EB">
        <w:rPr>
          <w:rFonts w:ascii="Times New Roman" w:hAnsi="Times New Roman"/>
        </w:rPr>
        <w:t xml:space="preserve">La construction de 3 logements à l'intérieur de l'îlot est contraire </w:t>
      </w:r>
      <w:r w:rsidR="00BD39E9">
        <w:rPr>
          <w:rFonts w:ascii="Times New Roman" w:hAnsi="Times New Roman"/>
        </w:rPr>
        <w:t>aux règles qui tendent à protéger  l’espace vert intérieur,</w:t>
      </w:r>
      <w:r w:rsidRPr="000934EB">
        <w:rPr>
          <w:rFonts w:ascii="Times New Roman" w:hAnsi="Times New Roman"/>
        </w:rPr>
        <w:t xml:space="preserve"> et contraire au maintien d'une zone perméable suffisante. Elle nécessite aussi de créer un accès supplémentaire pour les pompiers, ce qui réduit encore davantage les terrains capables d’absorber l’eau de pluie. Le taux d’imperméabilisation est beaucoup trop élevé. Sur ce terrain qui compte actuellement </w:t>
      </w:r>
      <w:smartTag w:uri="urn:schemas-microsoft-com:office:smarttags" w:element="metricconverter">
        <w:smartTagPr>
          <w:attr w:name="ProductID" w:val="3890 m²"/>
        </w:smartTagPr>
        <w:r w:rsidRPr="000934EB">
          <w:rPr>
            <w:rFonts w:ascii="Times New Roman" w:hAnsi="Times New Roman"/>
          </w:rPr>
          <w:t>3890 m²</w:t>
        </w:r>
      </w:smartTag>
      <w:r w:rsidRPr="000934EB">
        <w:rPr>
          <w:rFonts w:ascii="Times New Roman" w:hAnsi="Times New Roman"/>
        </w:rPr>
        <w:t xml:space="preserve">, plus de </w:t>
      </w:r>
      <w:smartTag w:uri="urn:schemas-microsoft-com:office:smarttags" w:element="metricconverter">
        <w:smartTagPr>
          <w:attr w:name="ProductID" w:val="3330 m²"/>
        </w:smartTagPr>
        <w:r w:rsidRPr="000934EB">
          <w:rPr>
            <w:rFonts w:ascii="Times New Roman" w:hAnsi="Times New Roman"/>
          </w:rPr>
          <w:t>3330 m²</w:t>
        </w:r>
      </w:smartTag>
      <w:r w:rsidRPr="000934EB">
        <w:rPr>
          <w:rFonts w:ascii="Times New Roman" w:hAnsi="Times New Roman"/>
        </w:rPr>
        <w:t xml:space="preserve">, soit 85%, seront construits donc </w:t>
      </w:r>
      <w:r>
        <w:rPr>
          <w:rFonts w:ascii="Times New Roman" w:hAnsi="Times New Roman"/>
        </w:rPr>
        <w:t xml:space="preserve">imperméabilisés. Manifestement le promoteur </w:t>
      </w:r>
      <w:r>
        <w:rPr>
          <w:rFonts w:ascii="Times New Roman" w:hAnsi="Times New Roman"/>
          <w:lang w:val="fr-FR"/>
        </w:rPr>
        <w:t>ignore</w:t>
      </w:r>
      <w:r>
        <w:rPr>
          <w:rFonts w:ascii="Times New Roman" w:hAnsi="Times New Roman"/>
        </w:rPr>
        <w:t xml:space="preserve"> que la vallée de Roodebeek </w:t>
      </w:r>
      <w:r w:rsidRPr="000934EB">
        <w:rPr>
          <w:rFonts w:ascii="Times New Roman" w:hAnsi="Times New Roman"/>
        </w:rPr>
        <w:t xml:space="preserve">est une zone particulièrement sensible aux inondations. L’orage de ces derniers jours a démontré une fois de plus les limites </w:t>
      </w:r>
      <w:r>
        <w:rPr>
          <w:rFonts w:ascii="Times New Roman" w:hAnsi="Times New Roman"/>
        </w:rPr>
        <w:t>systématiques</w:t>
      </w:r>
      <w:r w:rsidRPr="000934EB">
        <w:rPr>
          <w:rFonts w:ascii="Times New Roman" w:hAnsi="Times New Roman"/>
        </w:rPr>
        <w:t xml:space="preserve"> d’absorption des eaux pluviales dans ce quartier. Il suffit de visiter les caves humides des maisons </w:t>
      </w:r>
      <w:r w:rsidRPr="000934EB">
        <w:rPr>
          <w:rFonts w:ascii="Times New Roman" w:hAnsi="Times New Roman"/>
        </w:rPr>
        <w:lastRenderedPageBreak/>
        <w:t xml:space="preserve">situées au fond de cette vallée pour s’en rendre compte. </w:t>
      </w:r>
      <w:r>
        <w:rPr>
          <w:rFonts w:ascii="Times New Roman" w:hAnsi="Times New Roman"/>
        </w:rPr>
        <w:t xml:space="preserve">Nous </w:t>
      </w:r>
      <w:r>
        <w:rPr>
          <w:rFonts w:ascii="Times New Roman" w:hAnsi="Times New Roman"/>
          <w:lang w:val="fr-FR"/>
        </w:rPr>
        <w:t>pensons</w:t>
      </w:r>
      <w:r>
        <w:rPr>
          <w:rFonts w:ascii="Times New Roman" w:hAnsi="Times New Roman"/>
        </w:rPr>
        <w:t xml:space="preserve"> </w:t>
      </w:r>
      <w:r>
        <w:rPr>
          <w:rFonts w:ascii="Times New Roman" w:hAnsi="Times New Roman"/>
          <w:lang w:val="fr-FR"/>
        </w:rPr>
        <w:t>et craignons que</w:t>
      </w:r>
      <w:r>
        <w:rPr>
          <w:rFonts w:ascii="Times New Roman" w:hAnsi="Times New Roman"/>
        </w:rPr>
        <w:t xml:space="preserve"> </w:t>
      </w:r>
      <w:r>
        <w:rPr>
          <w:rFonts w:ascii="Times New Roman" w:hAnsi="Times New Roman"/>
          <w:lang w:val="fr-FR"/>
        </w:rPr>
        <w:t>le</w:t>
      </w:r>
      <w:r>
        <w:rPr>
          <w:rFonts w:ascii="Times New Roman" w:hAnsi="Times New Roman"/>
        </w:rPr>
        <w:t xml:space="preserve"> projet </w:t>
      </w:r>
      <w:r>
        <w:rPr>
          <w:rFonts w:ascii="Times New Roman" w:hAnsi="Times New Roman"/>
          <w:lang w:val="fr-FR"/>
        </w:rPr>
        <w:t>sous</w:t>
      </w:r>
      <w:r>
        <w:rPr>
          <w:rFonts w:ascii="Times New Roman" w:hAnsi="Times New Roman"/>
        </w:rPr>
        <w:t>-</w:t>
      </w:r>
      <w:r>
        <w:rPr>
          <w:rFonts w:ascii="Times New Roman" w:hAnsi="Times New Roman"/>
          <w:lang w:val="fr-FR"/>
        </w:rPr>
        <w:t>estime</w:t>
      </w:r>
      <w:r>
        <w:rPr>
          <w:rFonts w:ascii="Times New Roman" w:hAnsi="Times New Roman"/>
        </w:rPr>
        <w:t xml:space="preserve"> la capacité </w:t>
      </w:r>
      <w:r>
        <w:rPr>
          <w:rFonts w:ascii="Times New Roman" w:hAnsi="Times New Roman"/>
          <w:lang w:val="fr-FR"/>
        </w:rPr>
        <w:t>du</w:t>
      </w:r>
      <w:r>
        <w:rPr>
          <w:rFonts w:ascii="Times New Roman" w:hAnsi="Times New Roman"/>
        </w:rPr>
        <w:t xml:space="preserve"> bassin d’</w:t>
      </w:r>
      <w:r>
        <w:rPr>
          <w:rFonts w:ascii="Times New Roman" w:hAnsi="Times New Roman"/>
          <w:lang w:val="fr-FR"/>
        </w:rPr>
        <w:t>orage</w:t>
      </w:r>
      <w:r>
        <w:rPr>
          <w:rFonts w:ascii="Times New Roman" w:hAnsi="Times New Roman"/>
        </w:rPr>
        <w:t xml:space="preserve"> </w:t>
      </w:r>
      <w:r>
        <w:rPr>
          <w:rFonts w:ascii="Times New Roman" w:hAnsi="Times New Roman"/>
          <w:lang w:val="fr-FR"/>
        </w:rPr>
        <w:t>prévu</w:t>
      </w:r>
      <w:r>
        <w:rPr>
          <w:rFonts w:ascii="Times New Roman" w:hAnsi="Times New Roman"/>
        </w:rPr>
        <w:t xml:space="preserve"> </w:t>
      </w:r>
      <w:r>
        <w:rPr>
          <w:rFonts w:ascii="Times New Roman" w:hAnsi="Times New Roman"/>
          <w:lang w:val="fr-FR"/>
        </w:rPr>
        <w:t>dans le</w:t>
      </w:r>
      <w:r>
        <w:rPr>
          <w:rFonts w:ascii="Times New Roman" w:hAnsi="Times New Roman"/>
        </w:rPr>
        <w:t xml:space="preserve"> plan.</w:t>
      </w:r>
    </w:p>
    <w:p w:rsidR="000E3ED9" w:rsidRPr="000934EB" w:rsidRDefault="000E3ED9" w:rsidP="00EF7358">
      <w:pPr>
        <w:jc w:val="both"/>
        <w:rPr>
          <w:rFonts w:ascii="Times New Roman" w:hAnsi="Times New Roman"/>
        </w:rPr>
      </w:pPr>
      <w:r w:rsidRPr="000934EB">
        <w:rPr>
          <w:rFonts w:ascii="Times New Roman" w:hAnsi="Times New Roman"/>
        </w:rPr>
        <w:t>Il est très regrettable que le projet détruise une grande partie de la zone verte ainsi qu’un arbre, un noyer, repris dans l’inventaire des arbres remarquables. Le terrain dans sa partie sauvage abrite aussi  une famille de renards</w:t>
      </w:r>
      <w:r>
        <w:rPr>
          <w:rFonts w:ascii="Times New Roman" w:hAnsi="Times New Roman"/>
        </w:rPr>
        <w:t>…</w:t>
      </w:r>
      <w:bookmarkStart w:id="0" w:name="_GoBack"/>
      <w:bookmarkEnd w:id="0"/>
    </w:p>
    <w:p w:rsidR="000E3ED9" w:rsidRPr="000934EB" w:rsidRDefault="000E3ED9" w:rsidP="00B910F3">
      <w:pPr>
        <w:jc w:val="both"/>
        <w:rPr>
          <w:rFonts w:ascii="Times New Roman" w:hAnsi="Times New Roman"/>
        </w:rPr>
      </w:pPr>
      <w:r w:rsidRPr="000934EB">
        <w:rPr>
          <w:rFonts w:ascii="Times New Roman" w:hAnsi="Times New Roman"/>
        </w:rPr>
        <w:t>Nous souhaiterions être présents à la réunion de la Commission de concertation du 26 septembre prochain</w:t>
      </w:r>
    </w:p>
    <w:p w:rsidR="000E3ED9" w:rsidRPr="000934EB" w:rsidRDefault="000E3ED9" w:rsidP="00B910F3">
      <w:pPr>
        <w:jc w:val="both"/>
        <w:rPr>
          <w:rFonts w:ascii="Times New Roman" w:hAnsi="Times New Roman"/>
        </w:rPr>
      </w:pPr>
      <w:r w:rsidRPr="000934EB">
        <w:rPr>
          <w:rFonts w:ascii="Times New Roman" w:hAnsi="Times New Roman"/>
        </w:rPr>
        <w:t>En vous remerciant pour votre attention, nous vous prions d’agréer l’expression de nos sentiments distingués</w:t>
      </w:r>
    </w:p>
    <w:p w:rsidR="000E3ED9" w:rsidRPr="000934EB" w:rsidRDefault="000E3ED9" w:rsidP="000D1A9C">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6"/>
        <w:gridCol w:w="3096"/>
        <w:gridCol w:w="3096"/>
      </w:tblGrid>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r w:rsidRPr="000C27F4">
              <w:rPr>
                <w:rFonts w:ascii="Times New Roman" w:hAnsi="Times New Roman"/>
              </w:rPr>
              <w:t>Nom, prénom</w:t>
            </w: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r w:rsidRPr="000C27F4">
              <w:rPr>
                <w:rFonts w:ascii="Times New Roman" w:hAnsi="Times New Roman"/>
              </w:rPr>
              <w:t>adresse</w:t>
            </w:r>
          </w:p>
        </w:tc>
        <w:tc>
          <w:tcPr>
            <w:tcW w:w="3096" w:type="dxa"/>
          </w:tcPr>
          <w:p w:rsidR="000E3ED9" w:rsidRPr="000C27F4" w:rsidRDefault="000E3ED9" w:rsidP="000C27F4">
            <w:pPr>
              <w:spacing w:after="0" w:line="240" w:lineRule="auto"/>
              <w:jc w:val="both"/>
              <w:rPr>
                <w:rFonts w:ascii="Times New Roman" w:hAnsi="Times New Roman"/>
              </w:rPr>
            </w:pPr>
            <w:r w:rsidRPr="000C27F4">
              <w:rPr>
                <w:rFonts w:ascii="Times New Roman" w:hAnsi="Times New Roman"/>
              </w:rPr>
              <w:t>signature</w:t>
            </w:r>
          </w:p>
        </w:tc>
      </w:tr>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r>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r>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r>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r>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r>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r>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r>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r>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p>
          <w:p w:rsidR="000E3ED9"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r>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r>
              <w:rPr>
                <w:rFonts w:ascii="Times New Roman" w:hAnsi="Times New Roman"/>
              </w:rPr>
              <w:lastRenderedPageBreak/>
              <w:t>Nom</w:t>
            </w:r>
            <w:r w:rsidR="008A0108">
              <w:rPr>
                <w:rFonts w:ascii="Times New Roman" w:hAnsi="Times New Roman"/>
              </w:rPr>
              <w:t>,</w:t>
            </w:r>
            <w:r>
              <w:rPr>
                <w:rFonts w:ascii="Times New Roman" w:hAnsi="Times New Roman"/>
              </w:rPr>
              <w:t xml:space="preserve"> prénom</w:t>
            </w: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8A0108">
            <w:pPr>
              <w:spacing w:after="0" w:line="240" w:lineRule="auto"/>
              <w:jc w:val="both"/>
              <w:rPr>
                <w:rFonts w:ascii="Times New Roman" w:hAnsi="Times New Roman"/>
              </w:rPr>
            </w:pPr>
            <w:r>
              <w:rPr>
                <w:rFonts w:ascii="Times New Roman" w:hAnsi="Times New Roman"/>
              </w:rPr>
              <w:t>adresse</w:t>
            </w:r>
          </w:p>
        </w:tc>
        <w:tc>
          <w:tcPr>
            <w:tcW w:w="3096" w:type="dxa"/>
          </w:tcPr>
          <w:p w:rsidR="000E3ED9" w:rsidRPr="000C27F4" w:rsidRDefault="000E3ED9" w:rsidP="008A0108">
            <w:pPr>
              <w:spacing w:after="0" w:line="240" w:lineRule="auto"/>
              <w:jc w:val="both"/>
              <w:rPr>
                <w:rFonts w:ascii="Times New Roman" w:hAnsi="Times New Roman"/>
              </w:rPr>
            </w:pPr>
            <w:r>
              <w:rPr>
                <w:rFonts w:ascii="Times New Roman" w:hAnsi="Times New Roman"/>
              </w:rPr>
              <w:t>signature</w:t>
            </w:r>
          </w:p>
        </w:tc>
      </w:tr>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r>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r>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r>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r>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r>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r>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r>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r>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r>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r>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r>
      <w:tr w:rsidR="000E3ED9" w:rsidRPr="000934EB" w:rsidTr="000C27F4">
        <w:tc>
          <w:tcPr>
            <w:tcW w:w="3096" w:type="dxa"/>
          </w:tcPr>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c>
          <w:tcPr>
            <w:tcW w:w="3096" w:type="dxa"/>
          </w:tcPr>
          <w:p w:rsidR="000E3ED9" w:rsidRPr="000C27F4" w:rsidRDefault="000E3ED9" w:rsidP="000C27F4">
            <w:pPr>
              <w:spacing w:after="0" w:line="240" w:lineRule="auto"/>
              <w:jc w:val="both"/>
              <w:rPr>
                <w:rFonts w:ascii="Times New Roman" w:hAnsi="Times New Roman"/>
              </w:rPr>
            </w:pPr>
          </w:p>
        </w:tc>
      </w:tr>
    </w:tbl>
    <w:p w:rsidR="000E3ED9" w:rsidRPr="000934EB" w:rsidRDefault="000E3ED9">
      <w:pPr>
        <w:rPr>
          <w:rFonts w:ascii="Times New Roman" w:hAnsi="Times New Roman"/>
        </w:rPr>
      </w:pPr>
    </w:p>
    <w:sectPr w:rsidR="000E3ED9" w:rsidRPr="000934EB" w:rsidSect="007C0C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30F92"/>
    <w:multiLevelType w:val="hybridMultilevel"/>
    <w:tmpl w:val="0FFC84A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144A11CD"/>
    <w:multiLevelType w:val="hybridMultilevel"/>
    <w:tmpl w:val="D472CD96"/>
    <w:lvl w:ilvl="0" w:tplc="B6405F34">
      <w:numFmt w:val="bullet"/>
      <w:lvlText w:val="-"/>
      <w:lvlJc w:val="left"/>
      <w:pPr>
        <w:ind w:left="720" w:hanging="360"/>
      </w:pPr>
      <w:rPr>
        <w:rFonts w:ascii="Times New Roman" w:eastAsia="Times New Roman" w:hAnsi="Times New Roman" w:hint="default"/>
      </w:rPr>
    </w:lvl>
    <w:lvl w:ilvl="1" w:tplc="080C0003">
      <w:start w:val="1"/>
      <w:numFmt w:val="decimal"/>
      <w:lvlText w:val="%2."/>
      <w:lvlJc w:val="left"/>
      <w:pPr>
        <w:tabs>
          <w:tab w:val="num" w:pos="1440"/>
        </w:tabs>
        <w:ind w:left="1440" w:hanging="360"/>
      </w:pPr>
      <w:rPr>
        <w:rFonts w:cs="Times New Roman"/>
      </w:rPr>
    </w:lvl>
    <w:lvl w:ilvl="2" w:tplc="080C0005">
      <w:start w:val="1"/>
      <w:numFmt w:val="decimal"/>
      <w:lvlText w:val="%3."/>
      <w:lvlJc w:val="left"/>
      <w:pPr>
        <w:tabs>
          <w:tab w:val="num" w:pos="2160"/>
        </w:tabs>
        <w:ind w:left="2160" w:hanging="360"/>
      </w:pPr>
      <w:rPr>
        <w:rFonts w:cs="Times New Roman"/>
      </w:rPr>
    </w:lvl>
    <w:lvl w:ilvl="3" w:tplc="080C0001">
      <w:start w:val="1"/>
      <w:numFmt w:val="decimal"/>
      <w:lvlText w:val="%4."/>
      <w:lvlJc w:val="left"/>
      <w:pPr>
        <w:tabs>
          <w:tab w:val="num" w:pos="2880"/>
        </w:tabs>
        <w:ind w:left="2880" w:hanging="360"/>
      </w:pPr>
      <w:rPr>
        <w:rFonts w:cs="Times New Roman"/>
      </w:rPr>
    </w:lvl>
    <w:lvl w:ilvl="4" w:tplc="080C0003">
      <w:start w:val="1"/>
      <w:numFmt w:val="decimal"/>
      <w:lvlText w:val="%5."/>
      <w:lvlJc w:val="left"/>
      <w:pPr>
        <w:tabs>
          <w:tab w:val="num" w:pos="3600"/>
        </w:tabs>
        <w:ind w:left="3600" w:hanging="360"/>
      </w:pPr>
      <w:rPr>
        <w:rFonts w:cs="Times New Roman"/>
      </w:rPr>
    </w:lvl>
    <w:lvl w:ilvl="5" w:tplc="080C0005">
      <w:start w:val="1"/>
      <w:numFmt w:val="decimal"/>
      <w:lvlText w:val="%6."/>
      <w:lvlJc w:val="left"/>
      <w:pPr>
        <w:tabs>
          <w:tab w:val="num" w:pos="4320"/>
        </w:tabs>
        <w:ind w:left="4320" w:hanging="360"/>
      </w:pPr>
      <w:rPr>
        <w:rFonts w:cs="Times New Roman"/>
      </w:rPr>
    </w:lvl>
    <w:lvl w:ilvl="6" w:tplc="080C0001">
      <w:start w:val="1"/>
      <w:numFmt w:val="decimal"/>
      <w:lvlText w:val="%7."/>
      <w:lvlJc w:val="left"/>
      <w:pPr>
        <w:tabs>
          <w:tab w:val="num" w:pos="5040"/>
        </w:tabs>
        <w:ind w:left="5040" w:hanging="360"/>
      </w:pPr>
      <w:rPr>
        <w:rFonts w:cs="Times New Roman"/>
      </w:rPr>
    </w:lvl>
    <w:lvl w:ilvl="7" w:tplc="080C0003">
      <w:start w:val="1"/>
      <w:numFmt w:val="decimal"/>
      <w:lvlText w:val="%8."/>
      <w:lvlJc w:val="left"/>
      <w:pPr>
        <w:tabs>
          <w:tab w:val="num" w:pos="5760"/>
        </w:tabs>
        <w:ind w:left="5760" w:hanging="360"/>
      </w:pPr>
      <w:rPr>
        <w:rFonts w:cs="Times New Roman"/>
      </w:rPr>
    </w:lvl>
    <w:lvl w:ilvl="8" w:tplc="080C0005">
      <w:start w:val="1"/>
      <w:numFmt w:val="decimal"/>
      <w:lvlText w:val="%9."/>
      <w:lvlJc w:val="left"/>
      <w:pPr>
        <w:tabs>
          <w:tab w:val="num" w:pos="6480"/>
        </w:tabs>
        <w:ind w:left="6480" w:hanging="360"/>
      </w:pPr>
      <w:rPr>
        <w:rFonts w:cs="Times New Roman"/>
      </w:rPr>
    </w:lvl>
  </w:abstractNum>
  <w:abstractNum w:abstractNumId="2">
    <w:nsid w:val="155E714E"/>
    <w:multiLevelType w:val="hybridMultilevel"/>
    <w:tmpl w:val="EF7C25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5603BF4"/>
    <w:multiLevelType w:val="hybridMultilevel"/>
    <w:tmpl w:val="25FCB3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4717DD9"/>
    <w:multiLevelType w:val="hybridMultilevel"/>
    <w:tmpl w:val="B2DC1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F1D7151"/>
    <w:multiLevelType w:val="hybridMultilevel"/>
    <w:tmpl w:val="FCCCAD2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B910F3"/>
    <w:rsid w:val="000004B7"/>
    <w:rsid w:val="00040B8D"/>
    <w:rsid w:val="00086826"/>
    <w:rsid w:val="000934EB"/>
    <w:rsid w:val="000C27F4"/>
    <w:rsid w:val="000D1A9C"/>
    <w:rsid w:val="000E3ED9"/>
    <w:rsid w:val="00115DB3"/>
    <w:rsid w:val="00123F79"/>
    <w:rsid w:val="00174CD3"/>
    <w:rsid w:val="002C636B"/>
    <w:rsid w:val="002C75D7"/>
    <w:rsid w:val="002E7AA0"/>
    <w:rsid w:val="003607D7"/>
    <w:rsid w:val="003A0FFD"/>
    <w:rsid w:val="004055CD"/>
    <w:rsid w:val="0042456E"/>
    <w:rsid w:val="00424D65"/>
    <w:rsid w:val="00435C1F"/>
    <w:rsid w:val="004858B0"/>
    <w:rsid w:val="004B2D8B"/>
    <w:rsid w:val="004D31F7"/>
    <w:rsid w:val="005206BC"/>
    <w:rsid w:val="0053380B"/>
    <w:rsid w:val="00561769"/>
    <w:rsid w:val="00573563"/>
    <w:rsid w:val="00575E7B"/>
    <w:rsid w:val="00584174"/>
    <w:rsid w:val="005A0571"/>
    <w:rsid w:val="00643605"/>
    <w:rsid w:val="006852F5"/>
    <w:rsid w:val="00693F4B"/>
    <w:rsid w:val="006D3763"/>
    <w:rsid w:val="00706F6B"/>
    <w:rsid w:val="0072683B"/>
    <w:rsid w:val="00731D37"/>
    <w:rsid w:val="00736EEF"/>
    <w:rsid w:val="007A1496"/>
    <w:rsid w:val="007A62BB"/>
    <w:rsid w:val="007C0CA2"/>
    <w:rsid w:val="007D6338"/>
    <w:rsid w:val="007F0D3C"/>
    <w:rsid w:val="008437E0"/>
    <w:rsid w:val="00890195"/>
    <w:rsid w:val="008A0108"/>
    <w:rsid w:val="00996844"/>
    <w:rsid w:val="00A50A3A"/>
    <w:rsid w:val="00A57C75"/>
    <w:rsid w:val="00A6637A"/>
    <w:rsid w:val="00A9491E"/>
    <w:rsid w:val="00AA2C63"/>
    <w:rsid w:val="00AC2624"/>
    <w:rsid w:val="00AC72E3"/>
    <w:rsid w:val="00AF245E"/>
    <w:rsid w:val="00B34B8B"/>
    <w:rsid w:val="00B910F3"/>
    <w:rsid w:val="00BD39E9"/>
    <w:rsid w:val="00C15AB3"/>
    <w:rsid w:val="00C823BC"/>
    <w:rsid w:val="00CA1A7E"/>
    <w:rsid w:val="00CA3A9F"/>
    <w:rsid w:val="00CF0C13"/>
    <w:rsid w:val="00E36DC1"/>
    <w:rsid w:val="00E75108"/>
    <w:rsid w:val="00EA3379"/>
    <w:rsid w:val="00EE2109"/>
    <w:rsid w:val="00EF7358"/>
    <w:rsid w:val="00F26CD4"/>
    <w:rsid w:val="00F26ED4"/>
    <w:rsid w:val="00F33527"/>
    <w:rsid w:val="00F33998"/>
    <w:rsid w:val="00F906A5"/>
    <w:rsid w:val="00FA35BE"/>
    <w:rsid w:val="00FA3869"/>
    <w:rsid w:val="00FF60B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F3"/>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CA1A7E"/>
    <w:pPr>
      <w:ind w:left="720"/>
      <w:contextualSpacing/>
    </w:pPr>
  </w:style>
  <w:style w:type="table" w:styleId="Grilledutableau">
    <w:name w:val="Table Grid"/>
    <w:basedOn w:val="TableauNormal"/>
    <w:uiPriority w:val="99"/>
    <w:rsid w:val="000934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2250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3589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Au Collège des Bourgmestre et Echevins de la commune de Woluwé-Saint-Lambert</vt:lpstr>
    </vt:vector>
  </TitlesOfParts>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Collège des Bourgmestre et Echevins de la commune de Woluwé-Saint-Lambert</dc:title>
  <dc:creator>User</dc:creator>
  <cp:lastModifiedBy>User</cp:lastModifiedBy>
  <cp:revision>2</cp:revision>
  <dcterms:created xsi:type="dcterms:W3CDTF">2014-09-06T16:20:00Z</dcterms:created>
  <dcterms:modified xsi:type="dcterms:W3CDTF">2014-09-06T16:20:00Z</dcterms:modified>
</cp:coreProperties>
</file>